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3138B" w14:textId="7F481023" w:rsidR="0055289E" w:rsidRDefault="0055289E" w:rsidP="00DA2D7C">
      <w:pPr>
        <w:pStyle w:val="OHHMainHeading"/>
      </w:pPr>
      <w:bookmarkStart w:id="0" w:name="_Toc219945751"/>
      <w:r>
        <w:t>[COMPANY NAME]</w:t>
      </w:r>
    </w:p>
    <w:p w14:paraId="365CFB30" w14:textId="5CD39E0C" w:rsidR="005216F1" w:rsidRPr="00DA2D7C" w:rsidRDefault="00387E3C" w:rsidP="00DA2D7C">
      <w:pPr>
        <w:pStyle w:val="OHHMainHeading"/>
      </w:pPr>
      <w:r w:rsidRPr="003D105E">
        <w:t>SERIES SEED PREFERRED SHARE PURCHASE AGREEMENT</w:t>
      </w:r>
      <w:r>
        <w:rPr>
          <w:rStyle w:val="FootnoteReference"/>
        </w:rPr>
        <w:footnoteReference w:id="1"/>
      </w:r>
      <w:bookmarkEnd w:id="0"/>
    </w:p>
    <w:p w14:paraId="281D412C" w14:textId="2E68B4BF" w:rsidR="005216F1" w:rsidRPr="003D105E" w:rsidRDefault="00387E3C" w:rsidP="00DA2D7C">
      <w:pPr>
        <w:pStyle w:val="OHHTab"/>
      </w:pPr>
      <w:r w:rsidRPr="003D105E">
        <w:rPr>
          <w:b/>
          <w:bCs/>
        </w:rPr>
        <w:t>THIS SERIES SEED PREFERRED SHARE PURCHASE AGREEMENT</w:t>
      </w:r>
      <w:r w:rsidRPr="003D105E">
        <w:t xml:space="preserve"> (this “</w:t>
      </w:r>
      <w:r w:rsidRPr="003D105E">
        <w:rPr>
          <w:b/>
          <w:bCs/>
        </w:rPr>
        <w:t>Agreement</w:t>
      </w:r>
      <w:r w:rsidRPr="003D105E">
        <w:t>”) is made as of {{Month}} {{Day}}, {{Year}}</w:t>
      </w:r>
      <w:r w:rsidRPr="003D105E">
        <w:rPr>
          <w:b/>
          <w:bCs/>
        </w:rPr>
        <w:t xml:space="preserve"> </w:t>
      </w:r>
      <w:r w:rsidRPr="003D105E">
        <w:t>by and among [Company Name]</w:t>
      </w:r>
      <w:r w:rsidRPr="003D105E">
        <w:rPr>
          <w:b/>
          <w:bCs/>
        </w:rPr>
        <w:t xml:space="preserve"> </w:t>
      </w:r>
      <w:r w:rsidRPr="003D105E">
        <w:t>(the “</w:t>
      </w:r>
      <w:r w:rsidRPr="003D105E">
        <w:rPr>
          <w:b/>
          <w:bCs/>
        </w:rPr>
        <w:t>Company</w:t>
      </w:r>
      <w:r w:rsidRPr="003D105E">
        <w:t xml:space="preserve">”), a corporation existing under the </w:t>
      </w:r>
      <w:r w:rsidRPr="003D105E">
        <w:rPr>
          <w:i/>
          <w:iCs/>
        </w:rPr>
        <w:t>Canada Business Corporations Ac</w:t>
      </w:r>
      <w:r w:rsidRPr="003D105E">
        <w:t>t</w:t>
      </w:r>
      <w:r w:rsidRPr="003D105E">
        <w:rPr>
          <w:iCs/>
        </w:rPr>
        <w:t xml:space="preserve"> </w:t>
      </w:r>
      <w:r w:rsidRPr="003D105E">
        <w:t>(the “</w:t>
      </w:r>
      <w:r w:rsidRPr="003D105E">
        <w:rPr>
          <w:b/>
          <w:bCs/>
        </w:rPr>
        <w:t>Act</w:t>
      </w:r>
      <w:r w:rsidRPr="003D105E">
        <w:t>”)</w:t>
      </w:r>
      <w:r w:rsidRPr="003D105E">
        <w:rPr>
          <w:b/>
          <w:bCs/>
        </w:rPr>
        <w:t xml:space="preserve"> </w:t>
      </w:r>
      <w:r w:rsidRPr="003D105E">
        <w:t xml:space="preserve">and the purchasers listed on </w:t>
      </w:r>
      <w:r w:rsidRPr="003D105E">
        <w:rPr>
          <w:u w:val="single"/>
        </w:rPr>
        <w:t xml:space="preserve">Exhibit </w:t>
      </w:r>
      <w:r w:rsidR="003A55F0" w:rsidRPr="003A55F0">
        <w:rPr>
          <w:u w:val="single"/>
        </w:rPr>
        <w:fldChar w:fldCharType="begin"/>
      </w:r>
      <w:r w:rsidR="003A55F0" w:rsidRPr="003A55F0">
        <w:rPr>
          <w:u w:val="single"/>
        </w:rPr>
        <w:instrText xml:space="preserve"> REF Ex_A \h  \* MERGEFORMAT </w:instrText>
      </w:r>
      <w:r w:rsidR="003A55F0" w:rsidRPr="003A55F0">
        <w:rPr>
          <w:u w:val="single"/>
        </w:rPr>
      </w:r>
      <w:r w:rsidR="003A55F0" w:rsidRPr="003A55F0">
        <w:rPr>
          <w:u w:val="single"/>
        </w:rPr>
        <w:fldChar w:fldCharType="separate"/>
      </w:r>
      <w:r w:rsidR="006D67B9" w:rsidRPr="006D67B9">
        <w:rPr>
          <w:u w:val="single"/>
        </w:rPr>
        <w:t>A</w:t>
      </w:r>
      <w:r w:rsidR="003A55F0" w:rsidRPr="003A55F0">
        <w:rPr>
          <w:u w:val="single"/>
        </w:rPr>
        <w:fldChar w:fldCharType="end"/>
      </w:r>
      <w:r w:rsidRPr="003D105E">
        <w:t xml:space="preserve"> to this Agreement (each a “</w:t>
      </w:r>
      <w:r w:rsidRPr="003D105E">
        <w:rPr>
          <w:b/>
          <w:bCs/>
        </w:rPr>
        <w:t>Purchaser</w:t>
      </w:r>
      <w:r w:rsidRPr="003D105E">
        <w:t>” and collectively the “</w:t>
      </w:r>
      <w:r w:rsidRPr="003D105E">
        <w:rPr>
          <w:b/>
          <w:bCs/>
        </w:rPr>
        <w:t>Purchasers</w:t>
      </w:r>
      <w:r w:rsidRPr="003D105E">
        <w:t>”).</w:t>
      </w:r>
    </w:p>
    <w:p w14:paraId="0559FB92" w14:textId="77777777" w:rsidR="005216F1" w:rsidRPr="003D105E" w:rsidRDefault="00387E3C" w:rsidP="00DA2D7C">
      <w:pPr>
        <w:pStyle w:val="OHHpara"/>
      </w:pPr>
      <w:r w:rsidRPr="003D105E">
        <w:t>The parties agree as follows:</w:t>
      </w:r>
    </w:p>
    <w:p w14:paraId="6814C78F" w14:textId="57B9C083" w:rsidR="005216F1" w:rsidRPr="003D105E" w:rsidRDefault="00387E3C" w:rsidP="00DA2D7C">
      <w:pPr>
        <w:pStyle w:val="StandardL1"/>
        <w:rPr>
          <w:vanish/>
          <w:specVanish/>
        </w:rPr>
      </w:pPr>
      <w:bookmarkStart w:id="1" w:name="_Toc219945752"/>
      <w:r w:rsidRPr="003D105E">
        <w:t>Purchase and Sale of Shares</w:t>
      </w:r>
      <w:bookmarkEnd w:id="1"/>
    </w:p>
    <w:p w14:paraId="0038A9A5" w14:textId="77777777" w:rsidR="005216F1" w:rsidRPr="003D105E" w:rsidRDefault="00387E3C" w:rsidP="00DA2D7C">
      <w:pPr>
        <w:pStyle w:val="OHHpara"/>
      </w:pPr>
      <w:r w:rsidRPr="003D105E">
        <w:t>.</w:t>
      </w:r>
    </w:p>
    <w:p w14:paraId="18D0D99D" w14:textId="776B6AC3" w:rsidR="005216F1" w:rsidRPr="003D105E" w:rsidRDefault="00387E3C" w:rsidP="00DA2D7C">
      <w:pPr>
        <w:pStyle w:val="StandardL2"/>
        <w:rPr>
          <w:vanish/>
          <w:specVanish/>
        </w:rPr>
      </w:pPr>
      <w:bookmarkStart w:id="2" w:name="_Toc219945753"/>
      <w:r w:rsidRPr="003D105E">
        <w:t>Sale and Issuance of Shares</w:t>
      </w:r>
      <w:bookmarkEnd w:id="2"/>
    </w:p>
    <w:p w14:paraId="1F391822" w14:textId="77777777" w:rsidR="005216F1" w:rsidRPr="003D105E" w:rsidRDefault="00387E3C" w:rsidP="00DA2D7C">
      <w:pPr>
        <w:pStyle w:val="OHHpara"/>
      </w:pPr>
      <w:r w:rsidRPr="003D105E">
        <w:t>.</w:t>
      </w:r>
    </w:p>
    <w:p w14:paraId="6C5F85C1" w14:textId="3D1DDD08" w:rsidR="005216F1" w:rsidRPr="003D105E" w:rsidRDefault="00387E3C" w:rsidP="00DA2D7C">
      <w:pPr>
        <w:pStyle w:val="StandardL3"/>
      </w:pPr>
      <w:r w:rsidRPr="003D105E">
        <w:t>The Company shall adopt and file with Innovation, Science and Economic Development Canada, on or before the Initial Closing (as defined below), the Articles of Amendment (the “</w:t>
      </w:r>
      <w:r w:rsidRPr="003D105E">
        <w:rPr>
          <w:b/>
          <w:bCs/>
        </w:rPr>
        <w:t>Articles of Amendment</w:t>
      </w:r>
      <w:r w:rsidRPr="003D105E">
        <w:t>”).</w:t>
      </w:r>
    </w:p>
    <w:p w14:paraId="279B3261" w14:textId="148760EA" w:rsidR="005216F1" w:rsidRPr="003D105E" w:rsidRDefault="00387E3C" w:rsidP="00DA2D7C">
      <w:pPr>
        <w:pStyle w:val="StandardL3"/>
      </w:pPr>
      <w:r w:rsidRPr="003D105E">
        <w:rPr>
          <w:lang w:val="en-US"/>
        </w:rPr>
        <w:t xml:space="preserve">Subject to the terms and conditions of this Agreement, each Purchaser agrees to purchase, and the Company agrees to sell and issue to each Purchaser, at the applicable Closing (as defined below) that number and series of </w:t>
      </w:r>
      <w:r w:rsidRPr="003D105E">
        <w:rPr>
          <w:bCs/>
          <w:lang w:val="en-US"/>
        </w:rPr>
        <w:t xml:space="preserve">Preferred Shares (as defined below) </w:t>
      </w:r>
      <w:r w:rsidRPr="003D105E">
        <w:rPr>
          <w:lang w:val="en-US"/>
        </w:rPr>
        <w:t xml:space="preserve">set forth opposite each Purchaser’s name on </w:t>
      </w:r>
      <w:r w:rsidRPr="003D105E">
        <w:rPr>
          <w:u w:val="single"/>
        </w:rPr>
        <w:t xml:space="preserve">Exhibit </w:t>
      </w:r>
      <w:r w:rsidR="003A55F0" w:rsidRPr="003A55F0">
        <w:rPr>
          <w:u w:val="single"/>
        </w:rPr>
        <w:fldChar w:fldCharType="begin"/>
      </w:r>
      <w:r w:rsidR="003A55F0" w:rsidRPr="003A55F0">
        <w:rPr>
          <w:u w:val="single"/>
        </w:rPr>
        <w:instrText xml:space="preserve"> REF Ex_A \h  \* MERGEFORMAT </w:instrText>
      </w:r>
      <w:r w:rsidR="003A55F0" w:rsidRPr="003A55F0">
        <w:rPr>
          <w:u w:val="single"/>
        </w:rPr>
      </w:r>
      <w:r w:rsidR="003A55F0" w:rsidRPr="003A55F0">
        <w:rPr>
          <w:u w:val="single"/>
        </w:rPr>
        <w:fldChar w:fldCharType="separate"/>
      </w:r>
      <w:r w:rsidR="006D67B9" w:rsidRPr="006D67B9">
        <w:rPr>
          <w:u w:val="single"/>
        </w:rPr>
        <w:t>A</w:t>
      </w:r>
      <w:r w:rsidR="003A55F0" w:rsidRPr="003A55F0">
        <w:rPr>
          <w:u w:val="single"/>
        </w:rPr>
        <w:fldChar w:fldCharType="end"/>
      </w:r>
      <w:r w:rsidRPr="003D105E">
        <w:t xml:space="preserve"> with respect to such Closing</w:t>
      </w:r>
      <w:r w:rsidRPr="003D105E">
        <w:rPr>
          <w:lang w:val="en-US"/>
        </w:rPr>
        <w:t>, at a purchase price of $</w:t>
      </w:r>
      <w:r w:rsidRPr="003D105E">
        <w:rPr>
          <w:rFonts w:ascii="Wingdings" w:eastAsia="Calibri" w:hAnsi="Wingdings"/>
        </w:rPr>
        <w:sym w:font="Wingdings" w:char="F06C"/>
      </w:r>
      <w:r w:rsidRPr="003D105E">
        <w:rPr>
          <w:lang w:val="en-US"/>
        </w:rPr>
        <w:t xml:space="preserve"> per Series 3 Seed </w:t>
      </w:r>
      <w:r w:rsidRPr="003D105E">
        <w:rPr>
          <w:bCs/>
          <w:lang w:val="en-US"/>
        </w:rPr>
        <w:t>Preferred Share</w:t>
      </w:r>
      <w:r w:rsidRPr="003D105E">
        <w:rPr>
          <w:lang w:val="en-US"/>
        </w:rPr>
        <w:t xml:space="preserve">, </w:t>
      </w:r>
      <w:r w:rsidRPr="003D105E">
        <w:t xml:space="preserve">or, as applicable, a purchase price of </w:t>
      </w:r>
      <w:r w:rsidRPr="003D105E">
        <w:rPr>
          <w:lang w:val="en-US"/>
        </w:rPr>
        <w:t>$</w:t>
      </w:r>
      <w:r w:rsidRPr="003D105E">
        <w:rPr>
          <w:rFonts w:ascii="Wingdings" w:eastAsia="Calibri" w:hAnsi="Wingdings"/>
        </w:rPr>
        <w:sym w:font="Wingdings" w:char="F06C"/>
      </w:r>
      <w:r w:rsidRPr="003D105E">
        <w:rPr>
          <w:lang w:val="en-US"/>
        </w:rPr>
        <w:t xml:space="preserve"> per Series 1 Seed </w:t>
      </w:r>
      <w:r w:rsidRPr="003D105E">
        <w:rPr>
          <w:bCs/>
          <w:lang w:val="en-US"/>
        </w:rPr>
        <w:t>Preferred Share</w:t>
      </w:r>
      <w:r w:rsidRPr="003D105E">
        <w:t xml:space="preserve"> or </w:t>
      </w:r>
      <w:r w:rsidRPr="003D105E">
        <w:rPr>
          <w:lang w:val="en-US"/>
        </w:rPr>
        <w:t>$</w:t>
      </w:r>
      <w:r w:rsidRPr="003D105E">
        <w:rPr>
          <w:rFonts w:ascii="Wingdings" w:eastAsia="Calibri" w:hAnsi="Wingdings"/>
        </w:rPr>
        <w:sym w:font="Wingdings" w:char="F06C"/>
      </w:r>
      <w:r w:rsidRPr="003D105E">
        <w:rPr>
          <w:lang w:val="en-US"/>
        </w:rPr>
        <w:t xml:space="preserve"> per Series 2 Seed </w:t>
      </w:r>
      <w:r w:rsidRPr="003D105E">
        <w:rPr>
          <w:bCs/>
          <w:lang w:val="en-US"/>
        </w:rPr>
        <w:t>Preferred Share</w:t>
      </w:r>
      <w:r w:rsidRPr="003D105E">
        <w:t xml:space="preserve"> with respect to the </w:t>
      </w:r>
      <w:r w:rsidRPr="003D105E">
        <w:rPr>
          <w:lang w:val="en-US"/>
        </w:rPr>
        <w:t xml:space="preserve">Series 1 Seed </w:t>
      </w:r>
      <w:r w:rsidRPr="003D105E">
        <w:rPr>
          <w:bCs/>
          <w:lang w:val="en-US"/>
        </w:rPr>
        <w:t>Preferred Shares</w:t>
      </w:r>
      <w:r w:rsidRPr="003D105E">
        <w:t xml:space="preserve"> and </w:t>
      </w:r>
      <w:r w:rsidRPr="003D105E">
        <w:rPr>
          <w:lang w:val="en-US"/>
        </w:rPr>
        <w:t xml:space="preserve">Series 2 Seed </w:t>
      </w:r>
      <w:r w:rsidRPr="003D105E">
        <w:rPr>
          <w:bCs/>
          <w:lang w:val="en-US"/>
        </w:rPr>
        <w:t>Preferred Shares, respectively,</w:t>
      </w:r>
      <w:r w:rsidRPr="003D105E">
        <w:t xml:space="preserve"> being issued in the Initial Closing (as defined below) pursuant to any cancellation or conversion of Convertible Securities (as defined below) as set forth in </w:t>
      </w:r>
      <w:r w:rsidRPr="003D105E">
        <w:rPr>
          <w:u w:val="single"/>
        </w:rPr>
        <w:t xml:space="preserve">Section </w:t>
      </w:r>
      <w:r w:rsidR="0048321D">
        <w:rPr>
          <w:u w:val="single"/>
        </w:rPr>
        <w:fldChar w:fldCharType="begin"/>
      </w:r>
      <w:r w:rsidR="0048321D">
        <w:rPr>
          <w:u w:val="single"/>
        </w:rPr>
        <w:instrText xml:space="preserve"> REF _Ref_ContractCompanion_9kb9Ur013 \n \h \t \* MERGEFORMAT </w:instrText>
      </w:r>
      <w:r w:rsidR="0048321D">
        <w:rPr>
          <w:u w:val="single"/>
        </w:rPr>
      </w:r>
      <w:r w:rsidR="0048321D">
        <w:rPr>
          <w:u w:val="single"/>
        </w:rPr>
        <w:fldChar w:fldCharType="separate"/>
      </w:r>
      <w:r w:rsidR="006D67B9">
        <w:rPr>
          <w:u w:val="single"/>
        </w:rPr>
        <w:t>1.3</w:t>
      </w:r>
      <w:r w:rsidR="0048321D">
        <w:rPr>
          <w:u w:val="single"/>
        </w:rPr>
        <w:fldChar w:fldCharType="end"/>
      </w:r>
      <w:r w:rsidRPr="003D105E">
        <w:t xml:space="preserve">. </w:t>
      </w:r>
      <w:r w:rsidRPr="003D105E">
        <w:rPr>
          <w:lang w:val="en-US"/>
        </w:rPr>
        <w:t>The Preferred Shares</w:t>
      </w:r>
      <w:r w:rsidRPr="003D105E">
        <w:rPr>
          <w:b/>
          <w:lang w:val="en-US"/>
        </w:rPr>
        <w:t xml:space="preserve"> </w:t>
      </w:r>
      <w:r w:rsidRPr="003D105E">
        <w:rPr>
          <w:lang w:val="en-US"/>
        </w:rPr>
        <w:t>issued to the Purchasers pursuant to this Agreement shall be referred to in this Agreement as the “</w:t>
      </w:r>
      <w:r w:rsidRPr="003D105E">
        <w:rPr>
          <w:b/>
          <w:bCs/>
          <w:lang w:val="en-US"/>
        </w:rPr>
        <w:t>Shares</w:t>
      </w:r>
      <w:r w:rsidRPr="003D105E">
        <w:rPr>
          <w:lang w:val="en-US"/>
        </w:rPr>
        <w:t xml:space="preserve">”. </w:t>
      </w:r>
      <w:r w:rsidRPr="003D105E">
        <w:t>In the event there is more than one closing, the term “</w:t>
      </w:r>
      <w:r w:rsidRPr="003D105E">
        <w:rPr>
          <w:b/>
          <w:bCs/>
        </w:rPr>
        <w:t>Closing</w:t>
      </w:r>
      <w:r w:rsidRPr="003D105E">
        <w:t>” shall apply to each such closing unless otherwise specified.</w:t>
      </w:r>
    </w:p>
    <w:p w14:paraId="07E8710F" w14:textId="6EEBAA8F" w:rsidR="005216F1" w:rsidRPr="003D105E" w:rsidRDefault="00387E3C" w:rsidP="00DA2D7C">
      <w:pPr>
        <w:pStyle w:val="StandardL2"/>
        <w:rPr>
          <w:vanish/>
          <w:specVanish/>
        </w:rPr>
      </w:pPr>
      <w:bookmarkStart w:id="3" w:name="_Toc219945754"/>
      <w:r w:rsidRPr="003D105E">
        <w:t>Closing; Delivery</w:t>
      </w:r>
      <w:bookmarkEnd w:id="3"/>
    </w:p>
    <w:p w14:paraId="7B45FA4D" w14:textId="77777777" w:rsidR="005216F1" w:rsidRPr="003D105E" w:rsidRDefault="00387E3C" w:rsidP="00DA2D7C">
      <w:pPr>
        <w:pStyle w:val="OHHpara"/>
      </w:pPr>
      <w:r w:rsidRPr="003D105E">
        <w:t>.</w:t>
      </w:r>
    </w:p>
    <w:p w14:paraId="46A06278" w14:textId="70C9D081" w:rsidR="005216F1" w:rsidRPr="003D105E" w:rsidRDefault="00387E3C" w:rsidP="00DA2D7C">
      <w:pPr>
        <w:pStyle w:val="StandardL3"/>
        <w:rPr>
          <w:vanish/>
          <w:specVanish/>
        </w:rPr>
      </w:pPr>
      <w:r w:rsidRPr="00030830">
        <w:rPr>
          <w:u w:val="single"/>
        </w:rPr>
        <w:t>Initial Closing</w:t>
      </w:r>
      <w:r w:rsidRPr="003D105E">
        <w:t>.</w:t>
      </w:r>
    </w:p>
    <w:p w14:paraId="11EE713C" w14:textId="25E91B73" w:rsidR="005216F1" w:rsidRPr="003D105E" w:rsidRDefault="00030830" w:rsidP="00DA2D7C">
      <w:pPr>
        <w:pStyle w:val="OHHpara"/>
      </w:pPr>
      <w:r>
        <w:t xml:space="preserve"> </w:t>
      </w:r>
      <w:r w:rsidR="00387E3C" w:rsidRPr="003D105E">
        <w:t>The initial</w:t>
      </w:r>
      <w:r w:rsidR="00387E3C" w:rsidRPr="003D105E">
        <w:rPr>
          <w:b/>
          <w:bCs/>
        </w:rPr>
        <w:t xml:space="preserve"> </w:t>
      </w:r>
      <w:r w:rsidR="00387E3C" w:rsidRPr="003D105E">
        <w:t>purchase and sale of the Shares shall take place remotely via the exchange of documents and signatures, on the date of this Agreement at such time as is mutually agreed upon</w:t>
      </w:r>
      <w:r w:rsidR="00387E3C" w:rsidRPr="003D105E">
        <w:rPr>
          <w:lang w:val="en-US"/>
        </w:rPr>
        <w:t>, orally or in writing, by the Company and the Lead Investor (as defined below) (</w:t>
      </w:r>
      <w:r w:rsidR="00387E3C" w:rsidRPr="003D105E">
        <w:t>the consummation of such purchase and sale being</w:t>
      </w:r>
      <w:r w:rsidR="00387E3C" w:rsidRPr="003D105E">
        <w:rPr>
          <w:lang w:val="en-US"/>
        </w:rPr>
        <w:t xml:space="preserve"> designated as the “</w:t>
      </w:r>
      <w:r w:rsidR="00387E3C" w:rsidRPr="003D105E">
        <w:rPr>
          <w:b/>
          <w:bCs/>
          <w:lang w:val="en-US"/>
        </w:rPr>
        <w:t>Initial Closing</w:t>
      </w:r>
      <w:r w:rsidR="00387E3C" w:rsidRPr="003D105E">
        <w:rPr>
          <w:lang w:val="en-US"/>
        </w:rPr>
        <w:t>”).</w:t>
      </w:r>
    </w:p>
    <w:p w14:paraId="037AC3E5" w14:textId="0950D988" w:rsidR="005216F1" w:rsidRPr="00030830" w:rsidRDefault="00387E3C" w:rsidP="00DA2D7C">
      <w:pPr>
        <w:pStyle w:val="StandardL3"/>
        <w:rPr>
          <w:vanish/>
          <w:u w:val="single"/>
          <w:specVanish/>
        </w:rPr>
      </w:pPr>
      <w:bookmarkStart w:id="4" w:name="_Ref219942731"/>
      <w:r w:rsidRPr="00030830">
        <w:rPr>
          <w:u w:val="single"/>
        </w:rPr>
        <w:t>Additional Closings</w:t>
      </w:r>
      <w:bookmarkEnd w:id="4"/>
    </w:p>
    <w:p w14:paraId="17B9EB68" w14:textId="58B70C61" w:rsidR="005216F1" w:rsidRPr="003D105E" w:rsidRDefault="00387E3C" w:rsidP="00DA2D7C">
      <w:pPr>
        <w:pStyle w:val="OHHpara"/>
      </w:pPr>
      <w:r w:rsidRPr="003D105E">
        <w:t xml:space="preserve">. After the Initial Closing and on or before the date that is </w:t>
      </w:r>
      <w:r w:rsidRPr="003D105E">
        <w:rPr>
          <w:rFonts w:ascii="Wingdings" w:eastAsia="Calibri" w:hAnsi="Wingdings"/>
        </w:rPr>
        <w:sym w:font="Wingdings" w:char="F06C"/>
      </w:r>
      <w:r w:rsidRPr="003D105E">
        <w:t xml:space="preserve"> days following the Initial Closing, the Company may sell, on the same terms and conditions as those contained in this Agreement, up to an additional number of Series 3 Seed </w:t>
      </w:r>
      <w:r w:rsidRPr="003D105E">
        <w:lastRenderedPageBreak/>
        <w:t xml:space="preserve">Preferred Shares equal to (i) </w:t>
      </w:r>
      <w:r w:rsidRPr="003D105E">
        <w:rPr>
          <w:rFonts w:ascii="Wingdings" w:eastAsia="Calibri" w:hAnsi="Wingdings"/>
        </w:rPr>
        <w:sym w:font="Wingdings" w:char="F06C"/>
      </w:r>
      <w:r w:rsidRPr="003D105E">
        <w:rPr>
          <w:vertAlign w:val="superscript"/>
        </w:rPr>
        <w:t xml:space="preserve"> </w:t>
      </w:r>
      <w:r w:rsidRPr="003D105E">
        <w:t xml:space="preserve">Series 3 Seed Preferred Shares </w:t>
      </w:r>
      <w:r w:rsidRPr="003D105E">
        <w:rPr>
          <w:u w:val="single"/>
        </w:rPr>
        <w:t>minus</w:t>
      </w:r>
      <w:r w:rsidRPr="003D105E">
        <w:t xml:space="preserve"> (ii) the number of Series 3 Seed Preferred Shares sold in the Initial Closing (each subject to appropriate adjustment in the event of any share dividend, share split, combination or similar recapitalization affecting such shares) (such difference, the “</w:t>
      </w:r>
      <w:r w:rsidRPr="003D105E">
        <w:rPr>
          <w:b/>
          <w:bCs/>
        </w:rPr>
        <w:t>Additional Shares</w:t>
      </w:r>
      <w:r w:rsidRPr="003D105E">
        <w:t>”), to one or more purchasers (each an “</w:t>
      </w:r>
      <w:r w:rsidRPr="003D105E">
        <w:rPr>
          <w:b/>
          <w:bCs/>
        </w:rPr>
        <w:t>Additional Purchaser</w:t>
      </w:r>
      <w:r w:rsidRPr="003D105E">
        <w:t>”) reasonably acceptable to the Lead Investor in any number of Closings (each an “</w:t>
      </w:r>
      <w:r w:rsidRPr="003D105E">
        <w:rPr>
          <w:b/>
          <w:bCs/>
        </w:rPr>
        <w:t>Additional Closing</w:t>
      </w:r>
      <w:r w:rsidRPr="003D105E">
        <w:t xml:space="preserve">”), provided that each Additional Purchaser shall become a party to the Investors’ Rights Agreement, the Voting Agreement, the Right of First Refusal and Co-Sale Agreement (each as defined below), and this Agreement by executing and delivering a counterpart signature page or adoption agreement to each such Transaction Agreement. </w:t>
      </w:r>
      <w:r w:rsidRPr="003D105E">
        <w:rPr>
          <w:u w:val="single"/>
        </w:rPr>
        <w:t xml:space="preserve">Exhibit </w:t>
      </w:r>
      <w:r w:rsidR="003A55F0" w:rsidRPr="003A55F0">
        <w:rPr>
          <w:u w:val="single"/>
        </w:rPr>
        <w:fldChar w:fldCharType="begin"/>
      </w:r>
      <w:r w:rsidR="003A55F0" w:rsidRPr="003A55F0">
        <w:rPr>
          <w:u w:val="single"/>
        </w:rPr>
        <w:instrText xml:space="preserve"> REF Ex_A \h  \* MERGEFORMAT </w:instrText>
      </w:r>
      <w:r w:rsidR="003A55F0" w:rsidRPr="003A55F0">
        <w:rPr>
          <w:u w:val="single"/>
        </w:rPr>
      </w:r>
      <w:r w:rsidR="003A55F0" w:rsidRPr="003A55F0">
        <w:rPr>
          <w:u w:val="single"/>
        </w:rPr>
        <w:fldChar w:fldCharType="separate"/>
      </w:r>
      <w:r w:rsidR="006D67B9" w:rsidRPr="006D67B9">
        <w:rPr>
          <w:u w:val="single"/>
        </w:rPr>
        <w:t>A</w:t>
      </w:r>
      <w:r w:rsidR="003A55F0" w:rsidRPr="003A55F0">
        <w:rPr>
          <w:u w:val="single"/>
        </w:rPr>
        <w:fldChar w:fldCharType="end"/>
      </w:r>
      <w:r w:rsidRPr="003D105E">
        <w:t xml:space="preserve"> to this Agreement shall be updated to reflect the number of Additional Shares purchased at each such Closing and the parties purchasing such Additional Shares.</w:t>
      </w:r>
    </w:p>
    <w:p w14:paraId="5288A5A2" w14:textId="7DB5E2D6" w:rsidR="005216F1" w:rsidRPr="003D105E" w:rsidRDefault="00387E3C" w:rsidP="00DA2D7C">
      <w:pPr>
        <w:pStyle w:val="StandardL3"/>
        <w:rPr>
          <w:vanish/>
          <w:specVanish/>
        </w:rPr>
      </w:pPr>
      <w:r w:rsidRPr="00030830">
        <w:rPr>
          <w:u w:val="single"/>
        </w:rPr>
        <w:t>Closing Deliverables</w:t>
      </w:r>
      <w:r w:rsidRPr="003D105E">
        <w:t>.</w:t>
      </w:r>
    </w:p>
    <w:p w14:paraId="5F47222C" w14:textId="56E8393F" w:rsidR="005216F1" w:rsidRPr="003D105E" w:rsidRDefault="00030830" w:rsidP="00DA2D7C">
      <w:pPr>
        <w:pStyle w:val="StandardL3"/>
      </w:pPr>
      <w:r>
        <w:t xml:space="preserve"> </w:t>
      </w:r>
      <w:r w:rsidR="00387E3C" w:rsidRPr="003D105E">
        <w:t>At each</w:t>
      </w:r>
      <w:r w:rsidR="00387E3C" w:rsidRPr="003D105E">
        <w:rPr>
          <w:b/>
          <w:bCs/>
        </w:rPr>
        <w:t xml:space="preserve"> </w:t>
      </w:r>
      <w:r w:rsidR="00387E3C" w:rsidRPr="003D105E">
        <w:t>Closing, the Company shall deliver to each Purchaser a certificate representing the Shares, or a notice of uncertificated shares, as the case may be, being purchased by such Purchaser at such Closing against payment of the purchase price therefor by cheque payable to the Company, by wire transfer of immediately available funds to a bank account designated by the Company, by cancellation or conversion of indebtedness or other convertible securities of the Company to the Purchaser, or by any combination of such methods.</w:t>
      </w:r>
    </w:p>
    <w:p w14:paraId="0E388969" w14:textId="77777777" w:rsidR="00DA2D7C" w:rsidRPr="00DA2D7C" w:rsidRDefault="00387E3C" w:rsidP="00DA2D7C">
      <w:pPr>
        <w:pStyle w:val="StandardL2"/>
        <w:rPr>
          <w:vanish/>
          <w:specVanish/>
        </w:rPr>
      </w:pPr>
      <w:bookmarkStart w:id="5" w:name="_Ref_ContractCompanion_9kb9Ur013"/>
      <w:bookmarkStart w:id="6" w:name="_Toc219945755"/>
      <w:r w:rsidRPr="003D105E">
        <w:t>Conversion and Termination of Convertible Securities</w:t>
      </w:r>
      <w:bookmarkEnd w:id="5"/>
      <w:bookmarkEnd w:id="6"/>
    </w:p>
    <w:p w14:paraId="46F6E885" w14:textId="55F4A364" w:rsidR="005216F1" w:rsidRPr="003D105E" w:rsidRDefault="00387E3C" w:rsidP="00DA2D7C">
      <w:pPr>
        <w:pStyle w:val="OHHpara"/>
      </w:pPr>
      <w:r w:rsidRPr="003D105E">
        <w:t>.</w:t>
      </w:r>
    </w:p>
    <w:p w14:paraId="09431DCC" w14:textId="2EA1BB99" w:rsidR="005216F1" w:rsidRPr="003D105E" w:rsidRDefault="00387E3C" w:rsidP="00DA2D7C">
      <w:pPr>
        <w:pStyle w:val="StandardL3"/>
      </w:pPr>
      <w:r w:rsidRPr="003D105E">
        <w:t>By executing and delivering this Agreement, each Purchaser holding one or more outstanding simple agreements for future equity and/or convertible notes issued by the Company prior to the date of this Agreement (each a “</w:t>
      </w:r>
      <w:r w:rsidRPr="003D105E">
        <w:rPr>
          <w:b/>
          <w:bCs/>
        </w:rPr>
        <w:t>Convertible Security</w:t>
      </w:r>
      <w:r w:rsidRPr="003D105E">
        <w:t>” and collectively the “</w:t>
      </w:r>
      <w:r w:rsidRPr="003D105E">
        <w:rPr>
          <w:b/>
          <w:bCs/>
        </w:rPr>
        <w:t>Convertible Securities</w:t>
      </w:r>
      <w:r w:rsidRPr="003D105E">
        <w:t>”) irrevocably agrees that:</w:t>
      </w:r>
    </w:p>
    <w:p w14:paraId="6EDAC8AA" w14:textId="0C96CB0C" w:rsidR="005216F1" w:rsidRPr="003D105E" w:rsidRDefault="00387E3C" w:rsidP="00DA2D7C">
      <w:pPr>
        <w:pStyle w:val="StandardL4"/>
      </w:pPr>
      <w:r w:rsidRPr="003D105E">
        <w:t xml:space="preserve">The face amount of each Convertible Security held by such Purchaser is set forth opposite such Purchaser’s name on </w:t>
      </w:r>
      <w:r w:rsidRPr="003D105E">
        <w:rPr>
          <w:u w:val="single"/>
        </w:rPr>
        <w:t xml:space="preserve">Exhibit </w:t>
      </w:r>
      <w:r w:rsidR="003A55F0" w:rsidRPr="003A55F0">
        <w:rPr>
          <w:u w:val="single"/>
        </w:rPr>
        <w:fldChar w:fldCharType="begin"/>
      </w:r>
      <w:r w:rsidR="003A55F0" w:rsidRPr="003A55F0">
        <w:rPr>
          <w:u w:val="single"/>
        </w:rPr>
        <w:instrText xml:space="preserve"> REF Ex_A \h  \* MERGEFORMAT </w:instrText>
      </w:r>
      <w:r w:rsidR="003A55F0" w:rsidRPr="003A55F0">
        <w:rPr>
          <w:u w:val="single"/>
        </w:rPr>
      </w:r>
      <w:r w:rsidR="003A55F0" w:rsidRPr="003A55F0">
        <w:rPr>
          <w:u w:val="single"/>
        </w:rPr>
        <w:fldChar w:fldCharType="separate"/>
      </w:r>
      <w:r w:rsidR="006D67B9" w:rsidRPr="006D67B9">
        <w:rPr>
          <w:u w:val="single"/>
        </w:rPr>
        <w:t>A</w:t>
      </w:r>
      <w:r w:rsidR="003A55F0" w:rsidRPr="003A55F0">
        <w:rPr>
          <w:u w:val="single"/>
        </w:rPr>
        <w:fldChar w:fldCharType="end"/>
      </w:r>
      <w:r w:rsidRPr="003D105E">
        <w:t>;</w:t>
      </w:r>
    </w:p>
    <w:p w14:paraId="5A510C61" w14:textId="1F59E02E" w:rsidR="005216F1" w:rsidRPr="003D105E" w:rsidRDefault="00387E3C" w:rsidP="00DA2D7C">
      <w:pPr>
        <w:pStyle w:val="StandardL4"/>
      </w:pPr>
      <w:r w:rsidRPr="003D105E">
        <w:t>Such Purchaser is the sole owner of all right, title and interest in and to each Convertible Security set forth opposite such Purchaser’s name on</w:t>
      </w:r>
      <w:r w:rsidRPr="003D105E">
        <w:rPr>
          <w:u w:val="single"/>
        </w:rPr>
        <w:t xml:space="preserve"> Exhibit </w:t>
      </w:r>
      <w:r w:rsidR="003A55F0" w:rsidRPr="003A55F0">
        <w:rPr>
          <w:u w:val="single"/>
        </w:rPr>
        <w:fldChar w:fldCharType="begin"/>
      </w:r>
      <w:r w:rsidR="003A55F0" w:rsidRPr="003A55F0">
        <w:rPr>
          <w:u w:val="single"/>
        </w:rPr>
        <w:instrText xml:space="preserve"> REF Ex_A \h  \* MERGEFORMAT </w:instrText>
      </w:r>
      <w:r w:rsidR="003A55F0" w:rsidRPr="003A55F0">
        <w:rPr>
          <w:u w:val="single"/>
        </w:rPr>
      </w:r>
      <w:r w:rsidR="003A55F0" w:rsidRPr="003A55F0">
        <w:rPr>
          <w:u w:val="single"/>
        </w:rPr>
        <w:fldChar w:fldCharType="separate"/>
      </w:r>
      <w:r w:rsidR="006D67B9" w:rsidRPr="006D67B9">
        <w:rPr>
          <w:u w:val="single"/>
        </w:rPr>
        <w:t>A</w:t>
      </w:r>
      <w:r w:rsidR="003A55F0" w:rsidRPr="003A55F0">
        <w:rPr>
          <w:u w:val="single"/>
        </w:rPr>
        <w:fldChar w:fldCharType="end"/>
      </w:r>
      <w:r w:rsidRPr="003D105E">
        <w:t>;</w:t>
      </w:r>
    </w:p>
    <w:p w14:paraId="7254D15B" w14:textId="6753E8E3" w:rsidR="005216F1" w:rsidRPr="003D105E" w:rsidRDefault="00387E3C" w:rsidP="00DA2D7C">
      <w:pPr>
        <w:pStyle w:val="StandardL4"/>
      </w:pPr>
      <w:r w:rsidRPr="003D105E">
        <w:t xml:space="preserve">At the Initial Closing, each Convertible Security held by such Purchaser will automatically and without any action on the part of such Purchaser convert into the number of Series 1 Seed Preferred Shares or Series 2 Seed Preferred Shares, as applicable, set forth opposite such Purchaser’s name on </w:t>
      </w:r>
      <w:r w:rsidRPr="003D105E">
        <w:rPr>
          <w:u w:val="single"/>
        </w:rPr>
        <w:t xml:space="preserve">Exhibit </w:t>
      </w:r>
      <w:r w:rsidR="003A55F0" w:rsidRPr="003A55F0">
        <w:rPr>
          <w:u w:val="single"/>
        </w:rPr>
        <w:fldChar w:fldCharType="begin"/>
      </w:r>
      <w:r w:rsidR="003A55F0" w:rsidRPr="003A55F0">
        <w:rPr>
          <w:u w:val="single"/>
        </w:rPr>
        <w:instrText xml:space="preserve"> REF Ex_A \h  \* MERGEFORMAT </w:instrText>
      </w:r>
      <w:r w:rsidR="003A55F0" w:rsidRPr="003A55F0">
        <w:rPr>
          <w:u w:val="single"/>
        </w:rPr>
      </w:r>
      <w:r w:rsidR="003A55F0" w:rsidRPr="003A55F0">
        <w:rPr>
          <w:u w:val="single"/>
        </w:rPr>
        <w:fldChar w:fldCharType="separate"/>
      </w:r>
      <w:r w:rsidR="006D67B9" w:rsidRPr="006D67B9">
        <w:rPr>
          <w:u w:val="single"/>
        </w:rPr>
        <w:t>A</w:t>
      </w:r>
      <w:r w:rsidR="003A55F0" w:rsidRPr="003A55F0">
        <w:rPr>
          <w:u w:val="single"/>
        </w:rPr>
        <w:fldChar w:fldCharType="end"/>
      </w:r>
      <w:r w:rsidRPr="003D105E">
        <w:t xml:space="preserve"> (as to any Purchaser, such shares being such Purchaser’s “</w:t>
      </w:r>
      <w:r w:rsidRPr="003D105E">
        <w:rPr>
          <w:b/>
          <w:bCs/>
        </w:rPr>
        <w:t>Convertible Security Shares</w:t>
      </w:r>
      <w:r w:rsidRPr="003D105E">
        <w:t>”), regardless of whether any such Convertible Securities or an affidavit of loss therefor is actually delivered in original or other form to the Company, and any original Convertible Securities held by (or delivered (electronically or otherwise) to) the Company may be cancelled (and marked cancelled) by the Company upon or following the Initial Closing;</w:t>
      </w:r>
    </w:p>
    <w:p w14:paraId="3AF09462" w14:textId="01E514F5" w:rsidR="005216F1" w:rsidRPr="003D105E" w:rsidRDefault="00387E3C" w:rsidP="00DA2D7C">
      <w:pPr>
        <w:pStyle w:val="StandardL4"/>
      </w:pPr>
      <w:r w:rsidRPr="003D105E">
        <w:t>As to such Purchaser, such Purchaser’s Convertible Security Shares are issued in full and complete discharge and satisfaction of all obligations of the Company (including outstanding principal, interest or any other amounts) under such Purchaser’s Convertible Securities, and such Convertible Securities will be terminated and of no further force or effect automatically immediately upon the Initial Closing;</w:t>
      </w:r>
    </w:p>
    <w:p w14:paraId="3A79450D" w14:textId="4C61AC15" w:rsidR="005216F1" w:rsidRPr="003D105E" w:rsidRDefault="00387E3C" w:rsidP="00DA2D7C">
      <w:pPr>
        <w:pStyle w:val="StandardL4"/>
        <w:rPr>
          <w:lang w:val="en-US"/>
        </w:rPr>
      </w:pPr>
      <w:r w:rsidRPr="003D105E">
        <w:rPr>
          <w:lang w:val="en-US"/>
        </w:rPr>
        <w:lastRenderedPageBreak/>
        <w:t xml:space="preserve">The terms of this Agreement and the Transaction Agreements shall, in the event of any conflict with the terms of any Convertible </w:t>
      </w:r>
      <w:r w:rsidRPr="003D105E">
        <w:t>Security held by such Purchaser</w:t>
      </w:r>
      <w:r w:rsidRPr="003D105E">
        <w:rPr>
          <w:lang w:val="en-US"/>
        </w:rPr>
        <w:t>, any side letter agreements or any related documents or agreements between the Company and such Purchaser (as to any Purchaser, such Purchaser’s “</w:t>
      </w:r>
      <w:r w:rsidRPr="003D105E">
        <w:rPr>
          <w:b/>
          <w:bCs/>
          <w:lang w:val="en-US"/>
        </w:rPr>
        <w:t xml:space="preserve">Convertible </w:t>
      </w:r>
      <w:r w:rsidRPr="003D105E">
        <w:rPr>
          <w:b/>
          <w:bCs/>
        </w:rPr>
        <w:t xml:space="preserve">Security </w:t>
      </w:r>
      <w:r w:rsidRPr="003D105E">
        <w:rPr>
          <w:b/>
          <w:bCs/>
          <w:lang w:val="en-US"/>
        </w:rPr>
        <w:t>Documents</w:t>
      </w:r>
      <w:r w:rsidRPr="003D105E">
        <w:rPr>
          <w:lang w:val="en-US"/>
        </w:rPr>
        <w:t xml:space="preserve">”), supersede such conflicting terms contained in such Convertible </w:t>
      </w:r>
      <w:r w:rsidRPr="003D105E">
        <w:t>Security</w:t>
      </w:r>
      <w:r w:rsidRPr="003D105E">
        <w:rPr>
          <w:lang w:val="en-US"/>
        </w:rPr>
        <w:t xml:space="preserve"> Documents and, for the avoidance of doubt, such Convertible </w:t>
      </w:r>
      <w:r w:rsidRPr="003D105E">
        <w:t>Security</w:t>
      </w:r>
      <w:r w:rsidRPr="003D105E">
        <w:rPr>
          <w:lang w:val="en-US"/>
        </w:rPr>
        <w:t xml:space="preserve"> Documents are terminated to give effect to the foregoing; and</w:t>
      </w:r>
    </w:p>
    <w:p w14:paraId="595AC835" w14:textId="5A137A7F" w:rsidR="005216F1" w:rsidRPr="003D105E" w:rsidRDefault="00387E3C" w:rsidP="00DA2D7C">
      <w:pPr>
        <w:pStyle w:val="StandardL4"/>
        <w:rPr>
          <w:lang w:val="en-US"/>
        </w:rPr>
      </w:pPr>
      <w:r w:rsidRPr="003D105E">
        <w:rPr>
          <w:lang w:val="en-US"/>
        </w:rPr>
        <w:t xml:space="preserve">Other than </w:t>
      </w:r>
      <w:r w:rsidRPr="003D105E">
        <w:t xml:space="preserve">such Purchaser’s </w:t>
      </w:r>
      <w:r w:rsidRPr="003D105E">
        <w:rPr>
          <w:lang w:val="en-US"/>
        </w:rPr>
        <w:t xml:space="preserve">right to receive </w:t>
      </w:r>
      <w:r w:rsidRPr="003D105E">
        <w:t xml:space="preserve">such Purchaser’s Convertible Security Shares and </w:t>
      </w:r>
      <w:r w:rsidRPr="003D105E">
        <w:rPr>
          <w:lang w:val="en-US"/>
        </w:rPr>
        <w:t xml:space="preserve">the rights provided for in this Agreement and in the Transaction Agreements, such Purchaser waives any and all demands, claims, suits, actions, causes of actions, proceedings, assessments and rights in respect of </w:t>
      </w:r>
      <w:r w:rsidRPr="003D105E">
        <w:t xml:space="preserve">such Purchaser’s </w:t>
      </w:r>
      <w:r w:rsidRPr="003D105E">
        <w:rPr>
          <w:lang w:val="en-US"/>
        </w:rPr>
        <w:t>Convertible Security Documents, including (A) any rights to notices required by the terms of such Convertible Security Documents; (B) any participation or pro-rata rights in respect of the transactions contemplated by this Agreement provided by the terms of such Convertible Security Documents; and (C) any past or present actual, deemed or alleged default or event of default under such Convertible Security Documents.</w:t>
      </w:r>
    </w:p>
    <w:p w14:paraId="0ABF73D9" w14:textId="2BC8BD06" w:rsidR="005216F1" w:rsidRPr="003D105E" w:rsidRDefault="00387E3C" w:rsidP="00DA2D7C">
      <w:pPr>
        <w:pStyle w:val="StandardL3"/>
      </w:pPr>
      <w:r w:rsidRPr="003D105E">
        <w:t>The Company and each Purchaser holding a Convertible Security agree</w:t>
      </w:r>
      <w:r w:rsidR="00CA3B9B">
        <w:t xml:space="preserve"> </w:t>
      </w:r>
      <w:r w:rsidRPr="003D105E">
        <w:t>that all Convertible Securities are and will be deemed for all purposes to have been amended and modified by virtue hereof to the full extent necessary to permit and facilitate their conversion as provided in this Agreement into Convertible Security Shares, to fix the conversion price (as defined therein) at $</w:t>
      </w:r>
      <w:r w:rsidRPr="003D105E">
        <w:rPr>
          <w:rFonts w:ascii="Wingdings" w:eastAsia="Calibri" w:hAnsi="Wingdings"/>
        </w:rPr>
        <w:sym w:font="Wingdings" w:char="F06C"/>
      </w:r>
      <w:r w:rsidRPr="003D105E">
        <w:t xml:space="preserve"> per Series 1 Seed Preferred Share or $</w:t>
      </w:r>
      <w:r w:rsidRPr="003D105E">
        <w:rPr>
          <w:rFonts w:ascii="Wingdings" w:eastAsia="Calibri" w:hAnsi="Wingdings"/>
        </w:rPr>
        <w:sym w:font="Wingdings" w:char="F06C"/>
      </w:r>
      <w:r w:rsidRPr="003D105E">
        <w:t xml:space="preserve"> per Series 2 Seed Preferred Share, as applicable, and, immediately upon the Initial Closing, all Convertible Securities shall be deemed terminated in full and null, void and of no further force or effect; provided that the foregoing will not impair the right of </w:t>
      </w:r>
      <w:r w:rsidR="00CA3B9B" w:rsidRPr="00CA3B9B">
        <w:t xml:space="preserve">each Purchaser holding a </w:t>
      </w:r>
      <w:r w:rsidRPr="003D105E">
        <w:t xml:space="preserve">Convertible Security to receive the applicable number of Convertible Security Shares shown opposite such </w:t>
      </w:r>
      <w:r w:rsidR="00CA3B9B">
        <w:t>Purchaser’s</w:t>
      </w:r>
      <w:r w:rsidR="00CA3B9B" w:rsidRPr="001C4EE8">
        <w:t xml:space="preserve"> </w:t>
      </w:r>
      <w:r w:rsidRPr="003D105E">
        <w:t xml:space="preserve">name on </w:t>
      </w:r>
      <w:r w:rsidRPr="00CA3B9B">
        <w:rPr>
          <w:u w:val="single"/>
        </w:rPr>
        <w:t>Exhibit</w:t>
      </w:r>
      <w:r w:rsidR="00CA3B9B" w:rsidRPr="00CA3B9B">
        <w:rPr>
          <w:u w:val="single"/>
        </w:rPr>
        <w:t xml:space="preserve"> </w:t>
      </w:r>
      <w:r w:rsidR="00CA3B9B" w:rsidRPr="00CA3B9B">
        <w:rPr>
          <w:u w:val="single"/>
        </w:rPr>
        <w:fldChar w:fldCharType="begin"/>
      </w:r>
      <w:r w:rsidR="00CA3B9B" w:rsidRPr="00CA3B9B">
        <w:rPr>
          <w:u w:val="single"/>
        </w:rPr>
        <w:instrText xml:space="preserve"> REF Ex_A \h  \* MERGEFORMAT </w:instrText>
      </w:r>
      <w:r w:rsidR="00CA3B9B" w:rsidRPr="00CA3B9B">
        <w:rPr>
          <w:u w:val="single"/>
        </w:rPr>
      </w:r>
      <w:r w:rsidR="00CA3B9B" w:rsidRPr="00CA3B9B">
        <w:rPr>
          <w:u w:val="single"/>
        </w:rPr>
        <w:fldChar w:fldCharType="separate"/>
      </w:r>
      <w:r w:rsidR="006D67B9" w:rsidRPr="006D67B9">
        <w:rPr>
          <w:u w:val="single"/>
        </w:rPr>
        <w:t>A</w:t>
      </w:r>
      <w:r w:rsidR="00CA3B9B" w:rsidRPr="00CA3B9B">
        <w:rPr>
          <w:u w:val="single"/>
        </w:rPr>
        <w:fldChar w:fldCharType="end"/>
      </w:r>
      <w:r w:rsidRPr="003D105E">
        <w:t>.</w:t>
      </w:r>
    </w:p>
    <w:p w14:paraId="6DCBF018" w14:textId="7925FFEF" w:rsidR="005216F1" w:rsidRPr="003D105E" w:rsidRDefault="00387E3C" w:rsidP="00DA2D7C">
      <w:pPr>
        <w:pStyle w:val="StandardL2"/>
        <w:rPr>
          <w:vanish/>
          <w:specVanish/>
        </w:rPr>
      </w:pPr>
      <w:bookmarkStart w:id="7" w:name="_Toc219945756"/>
      <w:r w:rsidRPr="003D105E">
        <w:t>Defined Terms Used in this Agreement</w:t>
      </w:r>
      <w:bookmarkEnd w:id="7"/>
    </w:p>
    <w:p w14:paraId="43C6C5A0" w14:textId="77777777" w:rsidR="005216F1" w:rsidRPr="003D105E" w:rsidRDefault="00387E3C" w:rsidP="00DA2D7C">
      <w:pPr>
        <w:pStyle w:val="OHHpara"/>
      </w:pPr>
      <w:r w:rsidRPr="003D105E">
        <w:t>.</w:t>
      </w:r>
      <w:r w:rsidRPr="003D105E">
        <w:rPr>
          <w:bCs/>
        </w:rPr>
        <w:t xml:space="preserve"> In </w:t>
      </w:r>
      <w:r w:rsidRPr="003D105E">
        <w:t>addition to the terms defined above, the following terms used in this Agreement shall be construed to have the meanings set forth or referenced below.</w:t>
      </w:r>
    </w:p>
    <w:p w14:paraId="3B985D2C" w14:textId="61231985" w:rsidR="005216F1" w:rsidRPr="003D105E" w:rsidRDefault="00387E3C" w:rsidP="00DA2D7C">
      <w:pPr>
        <w:pStyle w:val="StandardL3"/>
      </w:pPr>
      <w:r w:rsidRPr="003D105E">
        <w:t>“</w:t>
      </w:r>
      <w:r w:rsidRPr="003D105E">
        <w:rPr>
          <w:b/>
          <w:bCs/>
        </w:rPr>
        <w:t>1933 Act</w:t>
      </w:r>
      <w:r w:rsidRPr="003D105E">
        <w:t>” means the U.S. Securities Act of 1933, as amended, and the rules and regulations promulgated thereunder.</w:t>
      </w:r>
    </w:p>
    <w:p w14:paraId="5F3B36DA" w14:textId="1A96E207" w:rsidR="005216F1" w:rsidRPr="003D105E" w:rsidRDefault="00387E3C" w:rsidP="00DA2D7C">
      <w:pPr>
        <w:pStyle w:val="StandardL3"/>
      </w:pPr>
      <w:r w:rsidRPr="003D105E">
        <w:t>“</w:t>
      </w:r>
      <w:r w:rsidRPr="003D105E">
        <w:rPr>
          <w:b/>
          <w:bCs/>
        </w:rPr>
        <w:t>Affiliate</w:t>
      </w:r>
      <w:r w:rsidRPr="003D105E">
        <w:t>” means, with respect to any specified Person, (i) any other Person who, directly or indirectly, controls, is controlled by or is under common control with such Person, including any general partner, managing member, officer, director or trustee of such Person or any venture capital fund or other investment fund now or hereafter existing that is controlled by one or more general partners, managing members or investment advisers of, or shares the same management company or investment adviser with, such Person; or (ii) in relation to any investment funds or entity (including for this purpose, the Purchasers): (A) the manager or general partner of such investment fund or entity; (B) an affiliate of such manager or general partner; (C) any fund or</w:t>
      </w:r>
      <w:r w:rsidRPr="003D105E">
        <w:rPr>
          <w:lang w:val="en-US"/>
        </w:rPr>
        <w:t xml:space="preserve"> </w:t>
      </w:r>
      <w:r w:rsidRPr="003D105E">
        <w:t xml:space="preserve">entity managed by such manager, general partner or an affiliate of such manager or general partner; (D) any limited partner of such investment fund or entity or of any such fund or entity referred to in (C); or (E) any acquiror of all or substantially all of the portfolio assets of such investment fund or entity and shall also mean, in the case of any venture capital, private equity or similar fund that is a Purchaser, all partners, members, shareholders or other equity holders of any kind of such venture capital, private equity or similar fund, regardless of whether such partners, </w:t>
      </w:r>
      <w:r w:rsidRPr="003D105E">
        <w:lastRenderedPageBreak/>
        <w:t>members, shareholders or other equity owners control such venture capital, private equity or similar fund.</w:t>
      </w:r>
    </w:p>
    <w:p w14:paraId="7DB4292D" w14:textId="2969F0CC" w:rsidR="005216F1" w:rsidRPr="003D105E" w:rsidRDefault="00387E3C" w:rsidP="00DA2D7C">
      <w:pPr>
        <w:pStyle w:val="StandardL3"/>
      </w:pPr>
      <w:r w:rsidRPr="003D105E">
        <w:t>“</w:t>
      </w:r>
      <w:r w:rsidRPr="003D105E">
        <w:rPr>
          <w:b/>
          <w:bCs/>
        </w:rPr>
        <w:t>Applicable Securities Laws</w:t>
      </w:r>
      <w:r w:rsidRPr="003D105E">
        <w:t>” means any and all securities laws, including statutes, rules, regulations, by-laws, policies, guidelines, orders, decisions, rulings and awards, applicable in the jurisdictions in which the Shares will be offered, sold and issued.</w:t>
      </w:r>
    </w:p>
    <w:p w14:paraId="039C9757" w14:textId="60479C2C" w:rsidR="005216F1" w:rsidRPr="003D105E" w:rsidRDefault="00387E3C" w:rsidP="00DA2D7C">
      <w:pPr>
        <w:pStyle w:val="StandardL3"/>
      </w:pPr>
      <w:r w:rsidRPr="003D105E">
        <w:t>“</w:t>
      </w:r>
      <w:r w:rsidRPr="003D105E">
        <w:rPr>
          <w:b/>
          <w:bCs/>
        </w:rPr>
        <w:t>Articles</w:t>
      </w:r>
      <w:r w:rsidRPr="003D105E">
        <w:t>” means the articles of the Company, including the Articles of Amendmen</w:t>
      </w:r>
      <w:r w:rsidRPr="00030830">
        <w:t>t.</w:t>
      </w:r>
    </w:p>
    <w:p w14:paraId="29669EFA" w14:textId="363F2A90" w:rsidR="005216F1" w:rsidRPr="003D105E" w:rsidRDefault="00387E3C" w:rsidP="00DA2D7C">
      <w:pPr>
        <w:pStyle w:val="StandardL3"/>
      </w:pPr>
      <w:r w:rsidRPr="003D105E">
        <w:t>“</w:t>
      </w:r>
      <w:r w:rsidRPr="00994BDE">
        <w:rPr>
          <w:b/>
          <w:bCs/>
        </w:rPr>
        <w:t>Balance Sheet Date</w:t>
      </w:r>
      <w:r w:rsidRPr="003D105E">
        <w:t xml:space="preserve">” means </w:t>
      </w:r>
      <w:r w:rsidRPr="003D105E">
        <w:rPr>
          <w:rFonts w:ascii="Wingdings" w:eastAsia="Calibri" w:hAnsi="Wingdings"/>
        </w:rPr>
        <w:sym w:font="Wingdings" w:char="F06C"/>
      </w:r>
      <w:r w:rsidRPr="003D105E">
        <w:t>.</w:t>
      </w:r>
    </w:p>
    <w:p w14:paraId="60EDA367" w14:textId="3050A357" w:rsidR="005216F1" w:rsidRPr="003D105E" w:rsidRDefault="00387E3C" w:rsidP="00DA2D7C">
      <w:pPr>
        <w:pStyle w:val="StandardL3"/>
      </w:pPr>
      <w:r w:rsidRPr="003D105E">
        <w:t>“</w:t>
      </w:r>
      <w:r w:rsidRPr="003D105E">
        <w:rPr>
          <w:b/>
          <w:bCs/>
        </w:rPr>
        <w:t>Board</w:t>
      </w:r>
      <w:r w:rsidRPr="003D105E">
        <w:t>” means the Company’s Board of Directors.</w:t>
      </w:r>
    </w:p>
    <w:p w14:paraId="17A2844E" w14:textId="20970FF5" w:rsidR="005216F1" w:rsidRPr="003D105E" w:rsidRDefault="00387E3C" w:rsidP="00DA2D7C">
      <w:pPr>
        <w:pStyle w:val="StandardL3"/>
      </w:pPr>
      <w:r w:rsidRPr="003D105E">
        <w:t>“</w:t>
      </w:r>
      <w:r w:rsidRPr="003D105E">
        <w:rPr>
          <w:b/>
          <w:bCs/>
        </w:rPr>
        <w:t>Bylaws</w:t>
      </w:r>
      <w:r w:rsidRPr="003D105E">
        <w:t>” means the bylaws of the Company as in effect at the Initial Closing.</w:t>
      </w:r>
    </w:p>
    <w:p w14:paraId="50BA6EAA" w14:textId="5E4BEB31" w:rsidR="005216F1" w:rsidRPr="003D105E" w:rsidRDefault="00387E3C" w:rsidP="00DA2D7C">
      <w:pPr>
        <w:pStyle w:val="StandardL3"/>
      </w:pPr>
      <w:r w:rsidRPr="003D105E">
        <w:t>“</w:t>
      </w:r>
      <w:r w:rsidRPr="003D105E">
        <w:rPr>
          <w:b/>
          <w:bCs/>
        </w:rPr>
        <w:t>Common Shares</w:t>
      </w:r>
      <w:r w:rsidRPr="003D105E">
        <w:t>” means the Common Shares in the capital of the Company, issuable in series, of which one series is designated as “Voting Common Shares” and one series is designated as “Non-Voting Common Shares”.</w:t>
      </w:r>
    </w:p>
    <w:p w14:paraId="1B3450CB" w14:textId="218A91B1" w:rsidR="005216F1" w:rsidRPr="003D105E" w:rsidRDefault="00387E3C" w:rsidP="00DA2D7C">
      <w:pPr>
        <w:pStyle w:val="StandardL3"/>
      </w:pPr>
      <w:r w:rsidRPr="003D105E">
        <w:t>“</w:t>
      </w:r>
      <w:r w:rsidRPr="003D105E">
        <w:rPr>
          <w:b/>
          <w:bCs/>
        </w:rPr>
        <w:t>Company Intellectual Property</w:t>
      </w:r>
      <w:r w:rsidRPr="003D105E">
        <w:t>” means Company Owned Intellectual Property and any Intellectual Property Rights in-licensed to the Company in the conduct of the Company’s business as now conducted.</w:t>
      </w:r>
    </w:p>
    <w:p w14:paraId="410C37D7" w14:textId="5C03F370" w:rsidR="005216F1" w:rsidRPr="003D105E" w:rsidRDefault="00387E3C" w:rsidP="00DA2D7C">
      <w:pPr>
        <w:pStyle w:val="StandardL3"/>
      </w:pPr>
      <w:r w:rsidRPr="003D105E">
        <w:t>“</w:t>
      </w:r>
      <w:r w:rsidRPr="003D105E">
        <w:rPr>
          <w:b/>
          <w:bCs/>
        </w:rPr>
        <w:t>Company Owned Intellectual Property</w:t>
      </w:r>
      <w:r w:rsidRPr="003D105E">
        <w:t>” means Intellectual Property Rights owned or purported to be owned by the Company.</w:t>
      </w:r>
    </w:p>
    <w:p w14:paraId="0CC70083" w14:textId="1E9EFC1C" w:rsidR="005216F1" w:rsidRPr="003D105E" w:rsidRDefault="00387E3C" w:rsidP="00DA2D7C">
      <w:pPr>
        <w:pStyle w:val="StandardL3"/>
      </w:pPr>
      <w:r w:rsidRPr="003D105E">
        <w:t>“</w:t>
      </w:r>
      <w:r w:rsidRPr="003D105E">
        <w:rPr>
          <w:b/>
        </w:rPr>
        <w:t>control</w:t>
      </w:r>
      <w:r w:rsidRPr="003D105E">
        <w:t>” means: (i) with respect to any corporation, the direct or indirect ownership, beneficially or legally, of voting securities in the capital of such corporation, to which are attached more than 50%</w:t>
      </w:r>
      <w:r w:rsidRPr="003D105E">
        <w:rPr>
          <w:b/>
          <w:bCs/>
        </w:rPr>
        <w:t xml:space="preserve"> </w:t>
      </w:r>
      <w:r w:rsidRPr="003D105E">
        <w:t>of the votes that may be cast to elect the directors of such corporation and such votes are sufficient (if exercised) to elect a majority of the directors; and (ii) with respect to a partnership, trust, syndicate or other entity, actual power or authority to manage and direct the affairs of, or direct or indirect ownership of more than 50% of the beneficial interest in such entity, and “</w:t>
      </w:r>
      <w:r w:rsidRPr="003D105E">
        <w:rPr>
          <w:b/>
        </w:rPr>
        <w:t>controlled</w:t>
      </w:r>
      <w:r w:rsidRPr="003D105E">
        <w:t>” and “</w:t>
      </w:r>
      <w:r w:rsidRPr="003D105E">
        <w:rPr>
          <w:b/>
          <w:bCs/>
        </w:rPr>
        <w:t>c</w:t>
      </w:r>
      <w:r w:rsidRPr="003D105E">
        <w:rPr>
          <w:b/>
        </w:rPr>
        <w:t>ontrolling</w:t>
      </w:r>
      <w:r w:rsidRPr="003D105E">
        <w:t>” shall have a corresponding meaning.</w:t>
      </w:r>
    </w:p>
    <w:p w14:paraId="496B470E" w14:textId="6E1A3C03" w:rsidR="005216F1" w:rsidRPr="003D105E" w:rsidRDefault="00387E3C" w:rsidP="00DA2D7C">
      <w:pPr>
        <w:pStyle w:val="StandardL3"/>
      </w:pPr>
      <w:r w:rsidRPr="003D105E">
        <w:t>“</w:t>
      </w:r>
      <w:r w:rsidRPr="003D105E">
        <w:rPr>
          <w:b/>
          <w:bCs/>
        </w:rPr>
        <w:t>Disclosure Schedule</w:t>
      </w:r>
      <w:r w:rsidRPr="003D105E">
        <w:t xml:space="preserve">” means the disclosure schedule attached as </w:t>
      </w:r>
      <w:r w:rsidRPr="003D105E">
        <w:rPr>
          <w:u w:val="single"/>
        </w:rPr>
        <w:t xml:space="preserve">Exhibit </w:t>
      </w:r>
      <w:r w:rsidR="003A55F0" w:rsidRPr="003A55F0">
        <w:rPr>
          <w:u w:val="single"/>
        </w:rPr>
        <w:fldChar w:fldCharType="begin"/>
      </w:r>
      <w:r w:rsidR="003A55F0" w:rsidRPr="003A55F0">
        <w:rPr>
          <w:u w:val="single"/>
        </w:rPr>
        <w:instrText xml:space="preserve"> REF Ex_C \h  \* MERGEFORMAT </w:instrText>
      </w:r>
      <w:r w:rsidR="003A55F0" w:rsidRPr="003A55F0">
        <w:rPr>
          <w:u w:val="single"/>
        </w:rPr>
      </w:r>
      <w:r w:rsidR="003A55F0" w:rsidRPr="003A55F0">
        <w:rPr>
          <w:u w:val="single"/>
        </w:rPr>
        <w:fldChar w:fldCharType="separate"/>
      </w:r>
      <w:r w:rsidR="006D67B9" w:rsidRPr="006D67B9">
        <w:rPr>
          <w:u w:val="single"/>
        </w:rPr>
        <w:t>C</w:t>
      </w:r>
      <w:r w:rsidR="003A55F0" w:rsidRPr="003A55F0">
        <w:rPr>
          <w:u w:val="single"/>
        </w:rPr>
        <w:fldChar w:fldCharType="end"/>
      </w:r>
      <w:r w:rsidRPr="003D105E">
        <w:t xml:space="preserve"> to this Agreement.</w:t>
      </w:r>
    </w:p>
    <w:p w14:paraId="3391B708" w14:textId="65F227C1" w:rsidR="005216F1" w:rsidRPr="003D105E" w:rsidRDefault="00387E3C" w:rsidP="00DA2D7C">
      <w:pPr>
        <w:pStyle w:val="StandardL3"/>
      </w:pPr>
      <w:r w:rsidRPr="003D105E">
        <w:t>“</w:t>
      </w:r>
      <w:r w:rsidRPr="003D105E">
        <w:rPr>
          <w:b/>
          <w:bCs/>
        </w:rPr>
        <w:t>Financial Statements</w:t>
      </w:r>
      <w:r w:rsidRPr="003D105E">
        <w:t xml:space="preserve">” means the [un]audited financial statements of the Company for the financial year ended </w:t>
      </w:r>
      <w:r w:rsidRPr="003D105E">
        <w:rPr>
          <w:rFonts w:ascii="Wingdings" w:eastAsia="Calibri" w:hAnsi="Wingdings"/>
        </w:rPr>
        <w:sym w:font="Wingdings" w:char="F06C"/>
      </w:r>
      <w:r w:rsidRPr="003D105E">
        <w:t>.</w:t>
      </w:r>
    </w:p>
    <w:p w14:paraId="78278AAA" w14:textId="15EBF587" w:rsidR="005216F1" w:rsidRPr="003D105E" w:rsidRDefault="00387E3C" w:rsidP="00DA2D7C">
      <w:pPr>
        <w:pStyle w:val="StandardL3"/>
      </w:pPr>
      <w:r w:rsidRPr="003D105E">
        <w:t>“</w:t>
      </w:r>
      <w:r w:rsidRPr="003D105E">
        <w:rPr>
          <w:b/>
        </w:rPr>
        <w:t>Founders</w:t>
      </w:r>
      <w:r w:rsidRPr="003D105E">
        <w:t xml:space="preserve">” means, collectively, </w:t>
      </w:r>
      <w:r w:rsidRPr="003D105E">
        <w:rPr>
          <w:rFonts w:ascii="Wingdings" w:eastAsia="Calibri" w:hAnsi="Wingdings"/>
        </w:rPr>
        <w:sym w:font="Wingdings" w:char="F06C"/>
      </w:r>
      <w:r w:rsidRPr="003D105E">
        <w:t xml:space="preserve">, </w:t>
      </w:r>
      <w:r w:rsidRPr="003D105E">
        <w:rPr>
          <w:rFonts w:ascii="Wingdings" w:eastAsia="Calibri" w:hAnsi="Wingdings"/>
        </w:rPr>
        <w:sym w:font="Wingdings" w:char="F06C"/>
      </w:r>
      <w:r w:rsidRPr="003D105E">
        <w:t xml:space="preserve">, and </w:t>
      </w:r>
      <w:r w:rsidRPr="003D105E">
        <w:rPr>
          <w:rFonts w:ascii="Wingdings" w:eastAsia="Calibri" w:hAnsi="Wingdings"/>
        </w:rPr>
        <w:sym w:font="Wingdings" w:char="F06C"/>
      </w:r>
      <w:r w:rsidRPr="003D105E">
        <w:t>.</w:t>
      </w:r>
    </w:p>
    <w:p w14:paraId="1FFF9704" w14:textId="1836EA6D" w:rsidR="005216F1" w:rsidRPr="003D105E" w:rsidRDefault="00387E3C" w:rsidP="00DA2D7C">
      <w:pPr>
        <w:pStyle w:val="StandardL3"/>
        <w:rPr>
          <w:b/>
        </w:rPr>
      </w:pPr>
      <w:r w:rsidRPr="003D105E">
        <w:t>“</w:t>
      </w:r>
      <w:r w:rsidRPr="003D105E">
        <w:rPr>
          <w:b/>
          <w:bCs/>
        </w:rPr>
        <w:t>GAAP</w:t>
      </w:r>
      <w:r w:rsidRPr="003D105E">
        <w:t>”</w:t>
      </w:r>
      <w:r w:rsidRPr="003D105E">
        <w:rPr>
          <w:b/>
        </w:rPr>
        <w:t xml:space="preserve"> </w:t>
      </w:r>
      <w:r w:rsidRPr="003D105E">
        <w:t>means the generally accepted accounting principles from time to time approved by the Chartered Professional Accountants of Canada, or any successor institute, applicable as at the date on which a calculation is made or an action is taken in accordance with generally accepted accounting principles, including Accounting Standards for Private Enterprises.</w:t>
      </w:r>
    </w:p>
    <w:p w14:paraId="2B5146A7" w14:textId="0DCC1BC9" w:rsidR="005216F1" w:rsidRPr="003D105E" w:rsidRDefault="00387E3C" w:rsidP="00DA2D7C">
      <w:pPr>
        <w:pStyle w:val="StandardL3"/>
        <w:rPr>
          <w:b/>
        </w:rPr>
      </w:pPr>
      <w:r w:rsidRPr="003D105E">
        <w:t>“</w:t>
      </w:r>
      <w:r w:rsidRPr="003D105E">
        <w:rPr>
          <w:b/>
          <w:bCs/>
        </w:rPr>
        <w:t>including</w:t>
      </w:r>
      <w:r w:rsidRPr="003D105E">
        <w:t>” (or “</w:t>
      </w:r>
      <w:r w:rsidRPr="003D105E">
        <w:rPr>
          <w:b/>
          <w:bCs/>
        </w:rPr>
        <w:t>includes</w:t>
      </w:r>
      <w:r w:rsidRPr="003D105E">
        <w:t>”) means including (or includes) without limitation.</w:t>
      </w:r>
    </w:p>
    <w:p w14:paraId="6810321B" w14:textId="6A52ACBB" w:rsidR="005216F1" w:rsidRPr="003D105E" w:rsidRDefault="00387E3C" w:rsidP="00DA2D7C">
      <w:pPr>
        <w:pStyle w:val="StandardL3"/>
        <w:rPr>
          <w:u w:val="single"/>
        </w:rPr>
      </w:pPr>
      <w:r w:rsidRPr="003D105E">
        <w:t>“</w:t>
      </w:r>
      <w:r w:rsidRPr="003D105E">
        <w:rPr>
          <w:b/>
        </w:rPr>
        <w:t>Indemnification Agreements</w:t>
      </w:r>
      <w:r w:rsidRPr="003D105E">
        <w:t>” means the agreements between the Company and each of the directors nominated in accordance with the Voting Agreement, dated as of the date of the Initial Closing.</w:t>
      </w:r>
    </w:p>
    <w:p w14:paraId="505F33EA" w14:textId="00B9836A" w:rsidR="005216F1" w:rsidRPr="003D105E" w:rsidRDefault="00387E3C" w:rsidP="00DA2D7C">
      <w:pPr>
        <w:pStyle w:val="StandardL3"/>
        <w:rPr>
          <w:u w:val="single"/>
        </w:rPr>
      </w:pPr>
      <w:r w:rsidRPr="003D105E">
        <w:t>“</w:t>
      </w:r>
      <w:r w:rsidRPr="003D105E">
        <w:rPr>
          <w:b/>
          <w:bCs/>
        </w:rPr>
        <w:t>Intellectual Property Rights</w:t>
      </w:r>
      <w:r w:rsidRPr="003D105E">
        <w:t>” means all intellectual property and intellectual property rights, whether registered or unregistered, that are recognized in any jurisdiction of the world, including such rights in patents, utility models, trademarks and tradenames, copyrights, trade secrets, and domain names (and any registrations of or applications to register any of the foregoing).</w:t>
      </w:r>
    </w:p>
    <w:p w14:paraId="6F576661" w14:textId="67F32830" w:rsidR="005216F1" w:rsidRPr="003D105E" w:rsidRDefault="00387E3C" w:rsidP="00DA2D7C">
      <w:pPr>
        <w:pStyle w:val="StandardL3"/>
        <w:rPr>
          <w:u w:val="single"/>
        </w:rPr>
      </w:pPr>
      <w:r w:rsidRPr="003D105E">
        <w:t>“</w:t>
      </w:r>
      <w:r w:rsidRPr="003D105E">
        <w:rPr>
          <w:b/>
        </w:rPr>
        <w:t>Investors’ Rights Agreement</w:t>
      </w:r>
      <w:r w:rsidRPr="003D105E">
        <w:t>” means the investors’ rights agreement among the Company and the Purchasers dated as of the date of the Initial Closing.</w:t>
      </w:r>
    </w:p>
    <w:p w14:paraId="06FF974B" w14:textId="7659997E" w:rsidR="005216F1" w:rsidRPr="003D105E" w:rsidRDefault="00387E3C" w:rsidP="00DA2D7C">
      <w:pPr>
        <w:pStyle w:val="StandardL3"/>
      </w:pPr>
      <w:r w:rsidRPr="003D105E">
        <w:t>“</w:t>
      </w:r>
      <w:r w:rsidRPr="003D105E">
        <w:rPr>
          <w:b/>
          <w:bCs/>
        </w:rPr>
        <w:t>Knowledge</w:t>
      </w:r>
      <w:r w:rsidRPr="003D105E">
        <w:t>” including the phrase “</w:t>
      </w:r>
      <w:r w:rsidRPr="003D105E">
        <w:rPr>
          <w:b/>
          <w:bCs/>
        </w:rPr>
        <w:t>to the Company’s knowledge</w:t>
      </w:r>
      <w:r w:rsidRPr="003D105E">
        <w:t>” means the actual knowledge, after reasonable investigation of the Founders.</w:t>
      </w:r>
    </w:p>
    <w:p w14:paraId="165BDC0F" w14:textId="66627D31" w:rsidR="005216F1" w:rsidRPr="003D105E" w:rsidRDefault="00387E3C" w:rsidP="00DA2D7C">
      <w:pPr>
        <w:pStyle w:val="StandardL3"/>
      </w:pPr>
      <w:r w:rsidRPr="003D105E">
        <w:t>“</w:t>
      </w:r>
      <w:r w:rsidRPr="003D105E">
        <w:rPr>
          <w:b/>
        </w:rPr>
        <w:t>Lead Investor</w:t>
      </w:r>
      <w:r w:rsidRPr="003D105E">
        <w:t xml:space="preserve">” means, collectively, </w:t>
      </w:r>
      <w:r w:rsidRPr="003D105E">
        <w:rPr>
          <w:rFonts w:ascii="Wingdings" w:eastAsia="Calibri" w:hAnsi="Wingdings"/>
        </w:rPr>
        <w:sym w:font="Wingdings" w:char="F06C"/>
      </w:r>
      <w:r w:rsidRPr="003D105E">
        <w:t xml:space="preserve"> and their Affiliates.</w:t>
      </w:r>
    </w:p>
    <w:p w14:paraId="5D15EDAF" w14:textId="6B69BBE8" w:rsidR="005216F1" w:rsidRPr="003D105E" w:rsidRDefault="00387E3C" w:rsidP="00DA2D7C">
      <w:pPr>
        <w:pStyle w:val="StandardL3"/>
      </w:pPr>
      <w:r w:rsidRPr="003D105E">
        <w:t>[“</w:t>
      </w:r>
      <w:r w:rsidRPr="003D105E">
        <w:rPr>
          <w:b/>
          <w:bCs/>
        </w:rPr>
        <w:t>Management Rights Letter</w:t>
      </w:r>
      <w:r w:rsidRPr="003D105E">
        <w:t>” means the agreement between the Company and the Lead Investor dated as of the date of the Initial Closing.]</w:t>
      </w:r>
    </w:p>
    <w:p w14:paraId="2D4C424B" w14:textId="525A9DD4" w:rsidR="005216F1" w:rsidRPr="003D105E" w:rsidRDefault="00387E3C" w:rsidP="00DA2D7C">
      <w:pPr>
        <w:pStyle w:val="StandardL3"/>
      </w:pPr>
      <w:r w:rsidRPr="003D105E">
        <w:t>“</w:t>
      </w:r>
      <w:r w:rsidRPr="003D105E">
        <w:rPr>
          <w:b/>
        </w:rPr>
        <w:t>Material Adverse Effect</w:t>
      </w:r>
      <w:r w:rsidRPr="003D105E">
        <w:t>” means a material adverse effect on the business, assets (including intangible assets), liabilities, financial condition, property, or results of operations of the Company.</w:t>
      </w:r>
    </w:p>
    <w:p w14:paraId="61980A6A" w14:textId="7965B33E" w:rsidR="005216F1" w:rsidRPr="003D105E" w:rsidRDefault="00387E3C" w:rsidP="00DA2D7C">
      <w:pPr>
        <w:pStyle w:val="StandardL3"/>
      </w:pPr>
      <w:r w:rsidRPr="003D105E">
        <w:t>“</w:t>
      </w:r>
      <w:r w:rsidRPr="003D105E">
        <w:rPr>
          <w:b/>
        </w:rPr>
        <w:t>Person</w:t>
      </w:r>
      <w:r w:rsidRPr="003D105E">
        <w:t>” means any individual, corporation, partnership, trust, limited liability company, association or other entity.</w:t>
      </w:r>
    </w:p>
    <w:p w14:paraId="20D4762D" w14:textId="4D9A3A93" w:rsidR="005216F1" w:rsidRPr="003D105E" w:rsidRDefault="00387E3C" w:rsidP="00DA2D7C">
      <w:pPr>
        <w:pStyle w:val="StandardL3"/>
      </w:pPr>
      <w:r w:rsidRPr="003D105E">
        <w:t>“</w:t>
      </w:r>
      <w:r w:rsidRPr="003D105E">
        <w:rPr>
          <w:b/>
          <w:bCs/>
        </w:rPr>
        <w:t>Preferred Shares</w:t>
      </w:r>
      <w:r w:rsidRPr="003D105E">
        <w:t>” means the Preferred Shares in the capital of the Company, issuable in series, of which one series is designated as “</w:t>
      </w:r>
      <w:r w:rsidRPr="003D105E">
        <w:rPr>
          <w:b/>
          <w:bCs/>
        </w:rPr>
        <w:t>Series 1 Seed Preferred Shares</w:t>
      </w:r>
      <w:r w:rsidRPr="003D105E">
        <w:t>,” one series is designated as “</w:t>
      </w:r>
      <w:r w:rsidRPr="003D105E">
        <w:rPr>
          <w:b/>
          <w:bCs/>
        </w:rPr>
        <w:t>Series 2 Seed Preferred Shares,</w:t>
      </w:r>
      <w:r w:rsidRPr="003D105E">
        <w:t>” and one series is designated as “</w:t>
      </w:r>
      <w:r w:rsidRPr="003D105E">
        <w:rPr>
          <w:b/>
          <w:bCs/>
        </w:rPr>
        <w:t>Series 3 Seed Preferred Shares</w:t>
      </w:r>
      <w:r w:rsidRPr="003D105E">
        <w:t>”.</w:t>
      </w:r>
    </w:p>
    <w:p w14:paraId="11C664E2" w14:textId="30C5E65B" w:rsidR="005216F1" w:rsidRPr="003D105E" w:rsidRDefault="00387E3C" w:rsidP="00DA2D7C">
      <w:pPr>
        <w:pStyle w:val="StandardL3"/>
      </w:pPr>
      <w:r w:rsidRPr="003D105E">
        <w:t>“</w:t>
      </w:r>
      <w:r w:rsidRPr="003D105E">
        <w:rPr>
          <w:b/>
        </w:rPr>
        <w:t>Right of First Refusal and Co-Sale Agreement</w:t>
      </w:r>
      <w:r w:rsidRPr="003D105E">
        <w:t>” means the amended and restated right of first refusal and co-sale agreement among the Company, the Purchasers and all other shareholders of the Company, dated as of the date of the Initial Closing.</w:t>
      </w:r>
    </w:p>
    <w:p w14:paraId="0318DEFD" w14:textId="3322F971" w:rsidR="005216F1" w:rsidRPr="003D105E" w:rsidRDefault="00387E3C" w:rsidP="00DA2D7C">
      <w:pPr>
        <w:pStyle w:val="StandardL3"/>
      </w:pPr>
      <w:r w:rsidRPr="003D105E">
        <w:t>“</w:t>
      </w:r>
      <w:r w:rsidRPr="003D105E">
        <w:rPr>
          <w:b/>
        </w:rPr>
        <w:t>Transaction Agreements</w:t>
      </w:r>
      <w:r w:rsidRPr="003D105E">
        <w:t>” means this Agreement, the Investors’ Rights Agreement, [the Management Rights Letter,] the Right of First Refusal and Co-Sale Agreement, the Voting Agreement and the Indemnification Agreements.</w:t>
      </w:r>
    </w:p>
    <w:p w14:paraId="6C2F3BD1" w14:textId="5FC8295C" w:rsidR="005216F1" w:rsidRPr="003D105E" w:rsidRDefault="00387E3C" w:rsidP="00DA2D7C">
      <w:pPr>
        <w:pStyle w:val="StandardL3"/>
      </w:pPr>
      <w:r w:rsidRPr="003D105E">
        <w:t>“</w:t>
      </w:r>
      <w:r w:rsidRPr="003D105E">
        <w:rPr>
          <w:b/>
        </w:rPr>
        <w:t>U.S. Person</w:t>
      </w:r>
      <w:r w:rsidRPr="003D105E">
        <w:t>” has the meaning ascribed to it in Regulation S under the 1933 Act, as amended, the definition of which includes: (i) an individual resident in the United States; (ii) an estate or trust of which any executor, administrator or trustee is a U.S. Person; or (iii) any partnership or corporation organized or incorporated under the laws of the United States.</w:t>
      </w:r>
    </w:p>
    <w:p w14:paraId="6B16ABB3" w14:textId="1CE788F0" w:rsidR="005216F1" w:rsidRPr="003D105E" w:rsidRDefault="00387E3C" w:rsidP="00DA2D7C">
      <w:pPr>
        <w:pStyle w:val="StandardL3"/>
      </w:pPr>
      <w:r w:rsidRPr="003D105E">
        <w:t>“</w:t>
      </w:r>
      <w:r w:rsidRPr="003D105E">
        <w:rPr>
          <w:b/>
        </w:rPr>
        <w:t>Voting Agreement</w:t>
      </w:r>
      <w:r w:rsidRPr="003D105E">
        <w:t>” means the amended and restated voting agreement among the Company, the Purchasers and all other shareholders of the Company, dated as of the date of the Initial Closing.</w:t>
      </w:r>
    </w:p>
    <w:p w14:paraId="5FC5DCA6" w14:textId="0C1B35E3" w:rsidR="005216F1" w:rsidRPr="003D105E" w:rsidRDefault="00387E3C" w:rsidP="00DA2D7C">
      <w:pPr>
        <w:pStyle w:val="StandardL1"/>
        <w:rPr>
          <w:vanish/>
          <w:specVanish/>
        </w:rPr>
      </w:pPr>
      <w:bookmarkStart w:id="8" w:name="_Ref_ContractCompanion_9kb9Ur015"/>
      <w:bookmarkStart w:id="9" w:name="_Toc219945757"/>
      <w:r w:rsidRPr="003D105E">
        <w:t>Representations and Warranties of the Company</w:t>
      </w:r>
      <w:bookmarkEnd w:id="8"/>
      <w:bookmarkEnd w:id="9"/>
    </w:p>
    <w:p w14:paraId="44AEB86D" w14:textId="401E5B06" w:rsidR="005216F1" w:rsidRPr="003D105E" w:rsidRDefault="00387E3C" w:rsidP="00DA2D7C">
      <w:pPr>
        <w:pStyle w:val="OHHpara"/>
      </w:pPr>
      <w:r w:rsidRPr="003D105E">
        <w:t xml:space="preserve">. The Company represents and warrants to each Purchaser that, except as set forth on the Disclosure Schedule attached as </w:t>
      </w:r>
      <w:r w:rsidRPr="003D105E">
        <w:rPr>
          <w:u w:val="single"/>
        </w:rPr>
        <w:t xml:space="preserve">Exhibit </w:t>
      </w:r>
      <w:r w:rsidR="003A55F0" w:rsidRPr="003A55F0">
        <w:rPr>
          <w:u w:val="single"/>
        </w:rPr>
        <w:fldChar w:fldCharType="begin"/>
      </w:r>
      <w:r w:rsidR="003A55F0" w:rsidRPr="003A55F0">
        <w:rPr>
          <w:u w:val="single"/>
        </w:rPr>
        <w:instrText xml:space="preserve"> REF Ex_C \h  \* MERGEFORMAT </w:instrText>
      </w:r>
      <w:r w:rsidR="003A55F0" w:rsidRPr="003A55F0">
        <w:rPr>
          <w:u w:val="single"/>
        </w:rPr>
      </w:r>
      <w:r w:rsidR="003A55F0" w:rsidRPr="003A55F0">
        <w:rPr>
          <w:u w:val="single"/>
        </w:rPr>
        <w:fldChar w:fldCharType="separate"/>
      </w:r>
      <w:r w:rsidR="006D67B9" w:rsidRPr="006D67B9">
        <w:rPr>
          <w:u w:val="single"/>
        </w:rPr>
        <w:t>C</w:t>
      </w:r>
      <w:r w:rsidR="003A55F0" w:rsidRPr="003A55F0">
        <w:rPr>
          <w:u w:val="single"/>
        </w:rPr>
        <w:fldChar w:fldCharType="end"/>
      </w:r>
      <w:r w:rsidRPr="003D105E">
        <w:t xml:space="preserve"> to this Agreement, which exceptions shall be deemed to be part of the representations and warranties made hereunder, the following representations are true and complete as of the date of the Initial Closing (except, with respect to any such representation or warranty that by its terms speaks only as to a specified date or dates, in which case such representation and warranty shall be true and complete at and as of such date or dates). The Disclosure Schedule shall be arranged in sections and subsections corresponding to the numbered and lettered sections and subsections contained in this </w:t>
      </w:r>
      <w:r w:rsidRPr="003D105E">
        <w:rPr>
          <w:u w:val="single"/>
        </w:rPr>
        <w:t xml:space="preserve">Section </w:t>
      </w:r>
      <w:r w:rsidR="0048321D">
        <w:rPr>
          <w:u w:val="single"/>
        </w:rPr>
        <w:fldChar w:fldCharType="begin"/>
      </w:r>
      <w:r w:rsidR="0048321D">
        <w:rPr>
          <w:u w:val="single"/>
        </w:rPr>
        <w:instrText xml:space="preserve"> REF _Ref_ContractCompanion_9kb9Ur015 \w \n \h \t \* MERGEFORMAT </w:instrText>
      </w:r>
      <w:r w:rsidR="0048321D">
        <w:rPr>
          <w:u w:val="single"/>
        </w:rPr>
      </w:r>
      <w:r w:rsidR="0048321D">
        <w:rPr>
          <w:u w:val="single"/>
        </w:rPr>
        <w:fldChar w:fldCharType="separate"/>
      </w:r>
      <w:r w:rsidR="006D67B9">
        <w:rPr>
          <w:u w:val="single"/>
        </w:rPr>
        <w:t>2</w:t>
      </w:r>
      <w:r w:rsidR="0048321D">
        <w:rPr>
          <w:u w:val="single"/>
        </w:rPr>
        <w:fldChar w:fldCharType="end"/>
      </w:r>
      <w:r w:rsidRPr="003D105E">
        <w:t xml:space="preserve">, and the disclosures in any section or subsection of the Disclosure Schedule shall qualify other sections and subsections in this </w:t>
      </w:r>
      <w:r w:rsidRPr="003D105E">
        <w:rPr>
          <w:u w:val="single"/>
        </w:rPr>
        <w:t xml:space="preserve">Section </w:t>
      </w:r>
      <w:r w:rsidR="0048321D">
        <w:rPr>
          <w:u w:val="single"/>
        </w:rPr>
        <w:fldChar w:fldCharType="begin"/>
      </w:r>
      <w:r w:rsidR="0048321D">
        <w:rPr>
          <w:u w:val="single"/>
        </w:rPr>
        <w:instrText xml:space="preserve"> REF _Ref_ContractCompanion_9kb9Ur015 \w \n \h \t \* MERGEFORMAT </w:instrText>
      </w:r>
      <w:r w:rsidR="0048321D">
        <w:rPr>
          <w:u w:val="single"/>
        </w:rPr>
      </w:r>
      <w:r w:rsidR="0048321D">
        <w:rPr>
          <w:u w:val="single"/>
        </w:rPr>
        <w:fldChar w:fldCharType="separate"/>
      </w:r>
      <w:r w:rsidR="006D67B9">
        <w:rPr>
          <w:u w:val="single"/>
        </w:rPr>
        <w:t>2</w:t>
      </w:r>
      <w:r w:rsidR="0048321D">
        <w:rPr>
          <w:u w:val="single"/>
        </w:rPr>
        <w:fldChar w:fldCharType="end"/>
      </w:r>
      <w:r w:rsidRPr="003D105E">
        <w:t xml:space="preserve"> only to the extent it is readily apparent from a reading of the disclosure that such disclosure is applicable to such other sections and subsections.</w:t>
      </w:r>
    </w:p>
    <w:p w14:paraId="7DE60B8E" w14:textId="678965C5" w:rsidR="005216F1" w:rsidRPr="003D105E" w:rsidRDefault="00387E3C" w:rsidP="00DA2D7C">
      <w:pPr>
        <w:pStyle w:val="OHHpara"/>
      </w:pPr>
      <w:r w:rsidRPr="003D105E">
        <w:t xml:space="preserve">For purposes of these representations and warranties (other than those in </w:t>
      </w:r>
      <w:r w:rsidRPr="003D105E">
        <w:rPr>
          <w:u w:val="single"/>
        </w:rPr>
        <w:t xml:space="preserve">Sections </w:t>
      </w:r>
      <w:r w:rsidR="0048321D">
        <w:rPr>
          <w:u w:val="single"/>
        </w:rPr>
        <w:fldChar w:fldCharType="begin"/>
      </w:r>
      <w:r w:rsidR="0048321D">
        <w:rPr>
          <w:u w:val="single"/>
        </w:rPr>
        <w:instrText xml:space="preserve"> REF _Ref_ContractCompanion_9kb9Ur017 \n \h \t \* MERGEFORMAT </w:instrText>
      </w:r>
      <w:r w:rsidR="0048321D">
        <w:rPr>
          <w:u w:val="single"/>
        </w:rPr>
      </w:r>
      <w:r w:rsidR="0048321D">
        <w:rPr>
          <w:u w:val="single"/>
        </w:rPr>
        <w:fldChar w:fldCharType="separate"/>
      </w:r>
      <w:r w:rsidR="006D67B9">
        <w:rPr>
          <w:u w:val="single"/>
        </w:rPr>
        <w:t>2.2</w:t>
      </w:r>
      <w:r w:rsidR="0048321D">
        <w:rPr>
          <w:u w:val="single"/>
        </w:rPr>
        <w:fldChar w:fldCharType="end"/>
      </w:r>
      <w:r w:rsidRPr="003D105E">
        <w:t xml:space="preserve">, </w:t>
      </w:r>
      <w:r w:rsidR="0048321D">
        <w:rPr>
          <w:u w:val="single"/>
        </w:rPr>
        <w:fldChar w:fldCharType="begin"/>
      </w:r>
      <w:r w:rsidR="0048321D">
        <w:rPr>
          <w:u w:val="single"/>
        </w:rPr>
        <w:instrText xml:space="preserve"> REF _Ref_ContractCompanion_9kb9Ur019 \n \h \t \* MERGEFORMAT </w:instrText>
      </w:r>
      <w:r w:rsidR="0048321D">
        <w:rPr>
          <w:u w:val="single"/>
        </w:rPr>
      </w:r>
      <w:r w:rsidR="0048321D">
        <w:rPr>
          <w:u w:val="single"/>
        </w:rPr>
        <w:fldChar w:fldCharType="separate"/>
      </w:r>
      <w:r w:rsidR="006D67B9">
        <w:rPr>
          <w:u w:val="single"/>
        </w:rPr>
        <w:t>2.3</w:t>
      </w:r>
      <w:r w:rsidR="0048321D">
        <w:rPr>
          <w:u w:val="single"/>
        </w:rPr>
        <w:fldChar w:fldCharType="end"/>
      </w:r>
      <w:r w:rsidRPr="003D105E">
        <w:t xml:space="preserve">, </w:t>
      </w:r>
      <w:r w:rsidR="0048321D">
        <w:rPr>
          <w:u w:val="single"/>
        </w:rPr>
        <w:fldChar w:fldCharType="begin"/>
      </w:r>
      <w:r w:rsidR="0048321D">
        <w:rPr>
          <w:u w:val="single"/>
        </w:rPr>
        <w:instrText xml:space="preserve"> REF _Ref_ContractCompanion_9kb9Ur01B \n \h \t \* MERGEFORMAT </w:instrText>
      </w:r>
      <w:r w:rsidR="0048321D">
        <w:rPr>
          <w:u w:val="single"/>
        </w:rPr>
      </w:r>
      <w:r w:rsidR="0048321D">
        <w:rPr>
          <w:u w:val="single"/>
        </w:rPr>
        <w:fldChar w:fldCharType="separate"/>
      </w:r>
      <w:r w:rsidR="006D67B9">
        <w:rPr>
          <w:u w:val="single"/>
        </w:rPr>
        <w:t>2.4</w:t>
      </w:r>
      <w:r w:rsidR="0048321D">
        <w:rPr>
          <w:u w:val="single"/>
        </w:rPr>
        <w:fldChar w:fldCharType="end"/>
      </w:r>
      <w:r w:rsidRPr="003D105E">
        <w:t xml:space="preserve">, </w:t>
      </w:r>
      <w:r w:rsidR="0048321D">
        <w:rPr>
          <w:u w:val="single"/>
        </w:rPr>
        <w:fldChar w:fldCharType="begin"/>
      </w:r>
      <w:r w:rsidR="0048321D">
        <w:rPr>
          <w:u w:val="single"/>
        </w:rPr>
        <w:instrText xml:space="preserve"> REF _Ref_ContractCompanion_9kb9Ur024 \n \h \t \* MERGEFORMAT </w:instrText>
      </w:r>
      <w:r w:rsidR="0048321D">
        <w:rPr>
          <w:u w:val="single"/>
        </w:rPr>
      </w:r>
      <w:r w:rsidR="0048321D">
        <w:rPr>
          <w:u w:val="single"/>
        </w:rPr>
        <w:fldChar w:fldCharType="separate"/>
      </w:r>
      <w:r w:rsidR="006D67B9">
        <w:rPr>
          <w:u w:val="single"/>
        </w:rPr>
        <w:t>2.5</w:t>
      </w:r>
      <w:r w:rsidR="0048321D">
        <w:rPr>
          <w:u w:val="single"/>
        </w:rPr>
        <w:fldChar w:fldCharType="end"/>
      </w:r>
      <w:r w:rsidRPr="003D105E">
        <w:t xml:space="preserve"> and </w:t>
      </w:r>
      <w:r w:rsidR="0048321D">
        <w:rPr>
          <w:u w:val="single"/>
        </w:rPr>
        <w:fldChar w:fldCharType="begin"/>
      </w:r>
      <w:r w:rsidR="0048321D">
        <w:rPr>
          <w:u w:val="single"/>
        </w:rPr>
        <w:instrText xml:space="preserve"> REF _Ref_ContractCompanion_9kb9Ur026 \n \h \t \* MERGEFORMAT </w:instrText>
      </w:r>
      <w:r w:rsidR="0048321D">
        <w:rPr>
          <w:u w:val="single"/>
        </w:rPr>
      </w:r>
      <w:r w:rsidR="0048321D">
        <w:rPr>
          <w:u w:val="single"/>
        </w:rPr>
        <w:fldChar w:fldCharType="separate"/>
      </w:r>
      <w:r w:rsidR="006D67B9">
        <w:rPr>
          <w:u w:val="single"/>
        </w:rPr>
        <w:t>2.6</w:t>
      </w:r>
      <w:r w:rsidR="0048321D">
        <w:rPr>
          <w:u w:val="single"/>
        </w:rPr>
        <w:fldChar w:fldCharType="end"/>
      </w:r>
      <w:r w:rsidRPr="003D105E">
        <w:t>), the term the “</w:t>
      </w:r>
      <w:r w:rsidRPr="003D105E">
        <w:rPr>
          <w:b/>
        </w:rPr>
        <w:t>Company</w:t>
      </w:r>
      <w:r w:rsidRPr="003D105E">
        <w:t>” shall include any subsidiaries of the Company, unless otherwise noted herein.</w:t>
      </w:r>
    </w:p>
    <w:p w14:paraId="7D563E3E" w14:textId="41D86A83" w:rsidR="005216F1" w:rsidRPr="003D105E" w:rsidRDefault="00387E3C" w:rsidP="00DA2D7C">
      <w:pPr>
        <w:pStyle w:val="StandardL2"/>
        <w:rPr>
          <w:vanish/>
          <w:specVanish/>
        </w:rPr>
      </w:pPr>
      <w:bookmarkStart w:id="10" w:name="_Toc219945758"/>
      <w:r w:rsidRPr="003D105E">
        <w:t>Organization, Good Standing, Corporate Power and Qualification</w:t>
      </w:r>
      <w:bookmarkEnd w:id="10"/>
    </w:p>
    <w:p w14:paraId="709ED3DF" w14:textId="77777777" w:rsidR="005216F1" w:rsidRPr="003D105E" w:rsidRDefault="00387E3C" w:rsidP="00DA2D7C">
      <w:pPr>
        <w:pStyle w:val="OHHpara"/>
      </w:pPr>
      <w:r w:rsidRPr="003D105E">
        <w:t>. The Company is a corporation duly organized, validly existing and in good standing under the Act and has all requisite corporate power and authority to carry on its business as now conducted and as presently proposed to be conducted. The Company is duly qualified to transact business and is in good standing in each jurisdiction in which the failure to so qualify would have a Material Adverse Effect.</w:t>
      </w:r>
    </w:p>
    <w:p w14:paraId="4F3BFB50" w14:textId="77777777" w:rsidR="00DA2D7C" w:rsidRPr="00DA2D7C" w:rsidRDefault="00387E3C" w:rsidP="00DA2D7C">
      <w:pPr>
        <w:pStyle w:val="StandardL2"/>
        <w:rPr>
          <w:vanish/>
          <w:specVanish/>
        </w:rPr>
      </w:pPr>
      <w:bookmarkStart w:id="11" w:name="_Ref_ContractCompanion_9kb9Ur017"/>
      <w:bookmarkStart w:id="12" w:name="_Toc219945759"/>
      <w:r w:rsidRPr="003D105E">
        <w:t>Capitalization</w:t>
      </w:r>
      <w:bookmarkEnd w:id="11"/>
      <w:bookmarkEnd w:id="12"/>
    </w:p>
    <w:p w14:paraId="1832FBE3" w14:textId="3C936B79" w:rsidR="005216F1" w:rsidRPr="003D105E" w:rsidRDefault="00387E3C" w:rsidP="00DA2D7C">
      <w:pPr>
        <w:pStyle w:val="OHHpara"/>
      </w:pPr>
      <w:r w:rsidRPr="003D105E">
        <w:t>.</w:t>
      </w:r>
    </w:p>
    <w:p w14:paraId="76F60043" w14:textId="797D22D8" w:rsidR="005216F1" w:rsidRPr="003D105E" w:rsidRDefault="00387E3C" w:rsidP="00DA2D7C">
      <w:pPr>
        <w:pStyle w:val="StandardL3"/>
      </w:pPr>
      <w:r w:rsidRPr="003D105E">
        <w:t>The authorized capital of the Company consists, immediately prior to the Initial Closing, of:</w:t>
      </w:r>
    </w:p>
    <w:p w14:paraId="56751182" w14:textId="384F34F3" w:rsidR="005216F1" w:rsidRPr="003D105E" w:rsidRDefault="00387E3C" w:rsidP="00DA2D7C">
      <w:pPr>
        <w:pStyle w:val="StandardL4"/>
      </w:pPr>
      <w:r w:rsidRPr="003D105E">
        <w:rPr>
          <w:rFonts w:ascii="Wingdings" w:eastAsia="Calibri" w:hAnsi="Wingdings"/>
        </w:rPr>
        <w:sym w:font="Wingdings" w:char="F06C"/>
      </w:r>
      <w:r w:rsidRPr="003D105E">
        <w:rPr>
          <w:lang w:val="en-US"/>
        </w:rPr>
        <w:t xml:space="preserve"> </w:t>
      </w:r>
      <w:r w:rsidRPr="003D105E">
        <w:t xml:space="preserve">Common Shares, issuable in series, of which </w:t>
      </w:r>
      <w:r w:rsidRPr="003D105E">
        <w:rPr>
          <w:rFonts w:ascii="Wingdings" w:eastAsia="Calibri" w:hAnsi="Wingdings"/>
        </w:rPr>
        <w:sym w:font="Wingdings" w:char="F06C"/>
      </w:r>
      <w:r w:rsidRPr="003D105E">
        <w:rPr>
          <w:lang w:val="en-US"/>
        </w:rPr>
        <w:t xml:space="preserve"> </w:t>
      </w:r>
      <w:r w:rsidRPr="003D105E">
        <w:t xml:space="preserve">are designated as Voting Common Shares and </w:t>
      </w:r>
      <w:r w:rsidRPr="003D105E">
        <w:rPr>
          <w:rFonts w:ascii="Wingdings" w:eastAsia="Calibri" w:hAnsi="Wingdings"/>
        </w:rPr>
        <w:sym w:font="Wingdings" w:char="F06C"/>
      </w:r>
      <w:r w:rsidRPr="003D105E">
        <w:rPr>
          <w:lang w:val="en-US"/>
        </w:rPr>
        <w:t xml:space="preserve"> </w:t>
      </w:r>
      <w:r w:rsidRPr="003D105E">
        <w:t xml:space="preserve">are designated as Non-Voting Common Shares, of which </w:t>
      </w:r>
      <w:r w:rsidRPr="003D105E">
        <w:rPr>
          <w:rFonts w:ascii="Wingdings" w:eastAsia="Calibri" w:hAnsi="Wingdings"/>
        </w:rPr>
        <w:sym w:font="Wingdings" w:char="F06C"/>
      </w:r>
      <w:r w:rsidRPr="003D105E">
        <w:rPr>
          <w:lang w:val="en-US"/>
        </w:rPr>
        <w:t xml:space="preserve"> </w:t>
      </w:r>
      <w:r w:rsidRPr="003D105E">
        <w:t xml:space="preserve">Voting Common Shares and </w:t>
      </w:r>
      <w:r w:rsidRPr="003D105E">
        <w:rPr>
          <w:rFonts w:ascii="Wingdings" w:eastAsia="Calibri" w:hAnsi="Wingdings"/>
        </w:rPr>
        <w:sym w:font="Wingdings" w:char="F06C"/>
      </w:r>
      <w:r w:rsidRPr="003D105E">
        <w:t xml:space="preserve"> Non-Voting Common Shares are issued and outstanding. All of the outstanding Common Shares have been duly authorized, are fully paid and nonassessable and were issued in compliance with all Applicable Securities Laws.</w:t>
      </w:r>
    </w:p>
    <w:p w14:paraId="642D9C24" w14:textId="7E24756D" w:rsidR="005216F1" w:rsidRPr="003D105E" w:rsidRDefault="00387E3C" w:rsidP="00DA2D7C">
      <w:pPr>
        <w:pStyle w:val="StandardL4"/>
      </w:pPr>
      <w:bookmarkStart w:id="13" w:name="_Ref_ContractCompanion_9kb9Ur028"/>
      <w:r w:rsidRPr="003D105E">
        <w:rPr>
          <w:rFonts w:ascii="Wingdings" w:eastAsia="Calibri" w:hAnsi="Wingdings"/>
        </w:rPr>
        <w:sym w:font="Wingdings" w:char="F06C"/>
      </w:r>
      <w:r w:rsidRPr="003D105E">
        <w:rPr>
          <w:lang w:val="en-US"/>
        </w:rPr>
        <w:t xml:space="preserve"> Preferred Shares</w:t>
      </w:r>
      <w:r w:rsidRPr="003D105E">
        <w:t xml:space="preserve">, issuable in series, of which </w:t>
      </w:r>
      <w:r w:rsidRPr="003D105E">
        <w:rPr>
          <w:rFonts w:ascii="Wingdings" w:eastAsia="Calibri" w:hAnsi="Wingdings"/>
        </w:rPr>
        <w:sym w:font="Wingdings" w:char="F06C"/>
      </w:r>
      <w:r w:rsidRPr="003D105E">
        <w:rPr>
          <w:lang w:val="en-US"/>
        </w:rPr>
        <w:t xml:space="preserve"> </w:t>
      </w:r>
      <w:r w:rsidRPr="003D105E">
        <w:t xml:space="preserve">are designated as Series 1 Seed Preferred Shares, </w:t>
      </w:r>
      <w:r w:rsidRPr="003D105E">
        <w:rPr>
          <w:rFonts w:ascii="Wingdings" w:eastAsia="Calibri" w:hAnsi="Wingdings"/>
        </w:rPr>
        <w:sym w:font="Wingdings" w:char="F06C"/>
      </w:r>
      <w:r w:rsidRPr="003D105E">
        <w:rPr>
          <w:lang w:val="en-US"/>
        </w:rPr>
        <w:t xml:space="preserve"> </w:t>
      </w:r>
      <w:r w:rsidRPr="003D105E">
        <w:t xml:space="preserve">are designated as Series 2 Seed Preferred Shares and </w:t>
      </w:r>
      <w:r w:rsidRPr="003D105E">
        <w:rPr>
          <w:rFonts w:ascii="Wingdings" w:eastAsia="Calibri" w:hAnsi="Wingdings"/>
        </w:rPr>
        <w:sym w:font="Wingdings" w:char="F06C"/>
      </w:r>
      <w:r w:rsidRPr="003D105E">
        <w:rPr>
          <w:lang w:val="en-US"/>
        </w:rPr>
        <w:t xml:space="preserve"> </w:t>
      </w:r>
      <w:r w:rsidRPr="003D105E">
        <w:t xml:space="preserve">are designated as Series 3 Seed Preferred Shares, of which </w:t>
      </w:r>
      <w:r w:rsidRPr="003D105E">
        <w:rPr>
          <w:rFonts w:ascii="Wingdings" w:eastAsia="Calibri" w:hAnsi="Wingdings"/>
        </w:rPr>
        <w:sym w:font="Wingdings" w:char="F06C"/>
      </w:r>
      <w:r w:rsidRPr="003D105E">
        <w:t xml:space="preserve"> Series 1 Seed Preferred Shares, </w:t>
      </w:r>
      <w:r w:rsidRPr="003D105E">
        <w:rPr>
          <w:rFonts w:ascii="Wingdings" w:eastAsia="Calibri" w:hAnsi="Wingdings"/>
        </w:rPr>
        <w:sym w:font="Wingdings" w:char="F06C"/>
      </w:r>
      <w:r w:rsidRPr="003D105E">
        <w:t xml:space="preserve"> Series 2 Seed Preferred Shares and </w:t>
      </w:r>
      <w:r w:rsidRPr="003D105E">
        <w:rPr>
          <w:rFonts w:ascii="Wingdings" w:eastAsia="Calibri" w:hAnsi="Wingdings"/>
        </w:rPr>
        <w:sym w:font="Wingdings" w:char="F06C"/>
      </w:r>
      <w:r w:rsidRPr="003D105E">
        <w:t xml:space="preserve"> Series 3 Seed Preferred Shares are issued and outstanding. All of the outstanding Preferred Shares have been duly authorized, are fully paid and nonassessable and were issued in compliance with all Applicable Securities Laws. The rights, privileges and preferences of the Preferred Shares are as stated in the Articles of Amendment and as provided by the Act. The Company has issued Convertible Securities that will convert into an aggregate of </w:t>
      </w:r>
      <w:r w:rsidRPr="003D105E">
        <w:rPr>
          <w:rFonts w:ascii="Wingdings" w:eastAsia="Calibri" w:hAnsi="Wingdings"/>
        </w:rPr>
        <w:sym w:font="Wingdings" w:char="F06C"/>
      </w:r>
      <w:r w:rsidRPr="003D105E">
        <w:t xml:space="preserve"> Series 1 Seed Preferred Shares and </w:t>
      </w:r>
      <w:r w:rsidRPr="003D105E">
        <w:rPr>
          <w:rFonts w:ascii="Wingdings" w:eastAsia="Calibri" w:hAnsi="Wingdings"/>
        </w:rPr>
        <w:sym w:font="Wingdings" w:char="F06C"/>
      </w:r>
      <w:r w:rsidRPr="003D105E">
        <w:t xml:space="preserve"> Series 2 Seed Preferred Shares as of the Initial Closing as set forth on </w:t>
      </w:r>
      <w:r w:rsidRPr="003D105E">
        <w:rPr>
          <w:u w:val="single"/>
        </w:rPr>
        <w:t xml:space="preserve">Exhibit </w:t>
      </w:r>
      <w:r w:rsidR="003A55F0" w:rsidRPr="003A55F0">
        <w:rPr>
          <w:u w:val="single"/>
        </w:rPr>
        <w:fldChar w:fldCharType="begin"/>
      </w:r>
      <w:r w:rsidR="003A55F0" w:rsidRPr="003A55F0">
        <w:rPr>
          <w:u w:val="single"/>
        </w:rPr>
        <w:instrText xml:space="preserve"> REF Ex_A \h  \* MERGEFORMAT </w:instrText>
      </w:r>
      <w:r w:rsidR="003A55F0" w:rsidRPr="003A55F0">
        <w:rPr>
          <w:u w:val="single"/>
        </w:rPr>
      </w:r>
      <w:r w:rsidR="003A55F0" w:rsidRPr="003A55F0">
        <w:rPr>
          <w:u w:val="single"/>
        </w:rPr>
        <w:fldChar w:fldCharType="separate"/>
      </w:r>
      <w:r w:rsidR="006D67B9" w:rsidRPr="006D67B9">
        <w:rPr>
          <w:u w:val="single"/>
        </w:rPr>
        <w:t>A</w:t>
      </w:r>
      <w:r w:rsidR="003A55F0" w:rsidRPr="003A55F0">
        <w:rPr>
          <w:u w:val="single"/>
        </w:rPr>
        <w:fldChar w:fldCharType="end"/>
      </w:r>
      <w:r w:rsidRPr="003D105E">
        <w:t>.</w:t>
      </w:r>
      <w:bookmarkEnd w:id="13"/>
    </w:p>
    <w:p w14:paraId="44CBEAD8" w14:textId="50AEB97F" w:rsidR="005216F1" w:rsidRPr="003D105E" w:rsidRDefault="00387E3C" w:rsidP="00DA2D7C">
      <w:pPr>
        <w:pStyle w:val="StandardL3"/>
      </w:pPr>
      <w:bookmarkStart w:id="14" w:name="_Ref_ContractCompanion_9kb9Ur02A"/>
      <w:r w:rsidRPr="003D105E">
        <w:t xml:space="preserve">The Company has reserved an aggregate of </w:t>
      </w:r>
      <w:r w:rsidRPr="003D105E">
        <w:rPr>
          <w:rFonts w:ascii="Wingdings" w:eastAsia="Calibri" w:hAnsi="Wingdings"/>
        </w:rPr>
        <w:sym w:font="Wingdings" w:char="F06C"/>
      </w:r>
      <w:r w:rsidRPr="003D105E">
        <w:rPr>
          <w:lang w:val="en-US"/>
        </w:rPr>
        <w:t xml:space="preserve"> </w:t>
      </w:r>
      <w:r w:rsidRPr="003D105E">
        <w:t xml:space="preserve">Common Shares for issuance to officers, directors, employees and contractors of the Company pursuant to its </w:t>
      </w:r>
      <w:r w:rsidRPr="003D105E">
        <w:rPr>
          <w:bCs/>
        </w:rPr>
        <w:t>equity incentive plan</w:t>
      </w:r>
      <w:r w:rsidRPr="003D105E">
        <w:t xml:space="preserve"> duly adopted by the Board and approved by the Company shareholders (the “</w:t>
      </w:r>
      <w:r w:rsidRPr="003D105E">
        <w:rPr>
          <w:b/>
        </w:rPr>
        <w:t>Equity Incentive Plan</w:t>
      </w:r>
      <w:r w:rsidRPr="003D105E">
        <w:t xml:space="preserve">”) dated [as of the date of the Initial Closing]. Of such reserved Common Shares, immediately prior to the Initial Closing, </w:t>
      </w:r>
      <w:r w:rsidRPr="003D105E">
        <w:rPr>
          <w:rFonts w:ascii="Wingdings" w:eastAsia="Calibri" w:hAnsi="Wingdings"/>
        </w:rPr>
        <w:sym w:font="Wingdings" w:char="F06C"/>
      </w:r>
      <w:r w:rsidRPr="003D105E">
        <w:rPr>
          <w:lang w:val="en-US"/>
        </w:rPr>
        <w:t xml:space="preserve"> </w:t>
      </w:r>
      <w:r w:rsidRPr="003D105E">
        <w:t xml:space="preserve">options to purchase Non-Voting Common Shares have been granted and are currently outstanding, </w:t>
      </w:r>
      <w:r w:rsidRPr="003D105E">
        <w:rPr>
          <w:rFonts w:ascii="Wingdings" w:eastAsia="Calibri" w:hAnsi="Wingdings"/>
        </w:rPr>
        <w:sym w:font="Wingdings" w:char="F06C"/>
      </w:r>
      <w:r w:rsidRPr="003D105E">
        <w:rPr>
          <w:lang w:val="en-US"/>
        </w:rPr>
        <w:t xml:space="preserve"> </w:t>
      </w:r>
      <w:r w:rsidRPr="003D105E">
        <w:t xml:space="preserve">options to purchase Voting Common Shares have been granted and are currently outstanding, </w:t>
      </w:r>
      <w:r w:rsidRPr="003D105E">
        <w:rPr>
          <w:rFonts w:ascii="Wingdings" w:eastAsia="Calibri" w:hAnsi="Wingdings"/>
        </w:rPr>
        <w:sym w:font="Wingdings" w:char="F06C"/>
      </w:r>
      <w:r w:rsidRPr="003D105E">
        <w:t xml:space="preserve"> Non-Voting Common Shares have been issued upon exercise of options, </w:t>
      </w:r>
      <w:r w:rsidRPr="003D105E">
        <w:rPr>
          <w:rFonts w:ascii="Wingdings" w:eastAsia="Calibri" w:hAnsi="Wingdings"/>
        </w:rPr>
        <w:sym w:font="Wingdings" w:char="F06C"/>
      </w:r>
      <w:r w:rsidRPr="003D105E">
        <w:t xml:space="preserve"> Voting Common Shares have been issued upon exercise of options, </w:t>
      </w:r>
      <w:r w:rsidRPr="003D105E">
        <w:rPr>
          <w:rFonts w:ascii="Wingdings" w:eastAsia="Calibri" w:hAnsi="Wingdings"/>
        </w:rPr>
        <w:sym w:font="Wingdings" w:char="F06C"/>
      </w:r>
      <w:r w:rsidRPr="003D105E">
        <w:t xml:space="preserve"> [Non-Voting/Voting] Common Shares have been issued pursuant to restricted share award agreements, and </w:t>
      </w:r>
      <w:r w:rsidRPr="003D105E">
        <w:rPr>
          <w:rFonts w:ascii="Wingdings" w:eastAsia="Calibri" w:hAnsi="Wingdings"/>
        </w:rPr>
        <w:sym w:font="Wingdings" w:char="F06C"/>
      </w:r>
      <w:r w:rsidRPr="003D105E">
        <w:rPr>
          <w:lang w:val="en-US"/>
        </w:rPr>
        <w:t xml:space="preserve"> </w:t>
      </w:r>
      <w:r w:rsidRPr="003D105E">
        <w:t>Common Shares remain available for issuance to officers, directors, employees and contractors pursuant to the Equity Incentive Plan, [all] of which remain uncommitted and unallocated. The Company has furnished to the Lead Investor complete and accurate copies of the Equity Incentive Plan and forms of agreements used thereunder.</w:t>
      </w:r>
      <w:bookmarkEnd w:id="14"/>
    </w:p>
    <w:p w14:paraId="5DFD2B2C" w14:textId="5490A021" w:rsidR="005216F1" w:rsidRPr="003D105E" w:rsidRDefault="00387E3C" w:rsidP="00DA2D7C">
      <w:pPr>
        <w:pStyle w:val="StandardL3"/>
      </w:pPr>
      <w:r w:rsidRPr="003D105E">
        <w:rPr>
          <w:u w:val="single"/>
        </w:rPr>
        <w:t>Section 2.2(c)</w:t>
      </w:r>
      <w:r w:rsidRPr="003D105E">
        <w:t xml:space="preserve"> of the Disclosure Schedule sets forth the summary capitalization of the Company immediately following the Initial Closing, including the aggregate number of shares of, or issuable pursuant to, each of the following: (i) issued and outstanding Common Shares; (ii) granted options (iii) Common Shares reserved for future award grants under the Equity Incentive Plan; (iv) each other class and series of shares; and (v) warrants or share purchase rights, if any. Except for (A) the conversion privileges of the Preferred Shares; (B) the rights provided in Section [4] of the Investors’ Rights Agreement; and (C) the securities and rights described in </w:t>
      </w:r>
      <w:r w:rsidRPr="003D105E">
        <w:rPr>
          <w:u w:val="single"/>
        </w:rPr>
        <w:t xml:space="preserve">Section </w:t>
      </w:r>
      <w:r w:rsidR="0048321D">
        <w:rPr>
          <w:u w:val="single"/>
        </w:rPr>
        <w:fldChar w:fldCharType="begin"/>
      </w:r>
      <w:r w:rsidR="0048321D">
        <w:rPr>
          <w:u w:val="single"/>
        </w:rPr>
        <w:instrText xml:space="preserve"> REF _Ref_ContractCompanion_9kb9Ur028 \w \h \t \* MERGEFORMAT </w:instrText>
      </w:r>
      <w:r w:rsidR="0048321D">
        <w:rPr>
          <w:u w:val="single"/>
        </w:rPr>
      </w:r>
      <w:r w:rsidR="0048321D">
        <w:rPr>
          <w:u w:val="single"/>
        </w:rPr>
        <w:fldChar w:fldCharType="separate"/>
      </w:r>
      <w:r w:rsidR="006D67B9">
        <w:rPr>
          <w:u w:val="single"/>
        </w:rPr>
        <w:t>2.2(a)(ii)</w:t>
      </w:r>
      <w:r w:rsidR="0048321D">
        <w:rPr>
          <w:u w:val="single"/>
        </w:rPr>
        <w:fldChar w:fldCharType="end"/>
      </w:r>
      <w:r w:rsidRPr="003D105E">
        <w:t xml:space="preserve"> and </w:t>
      </w:r>
      <w:r w:rsidRPr="003D105E">
        <w:rPr>
          <w:u w:val="single"/>
        </w:rPr>
        <w:t xml:space="preserve">Section </w:t>
      </w:r>
      <w:r w:rsidR="0048321D">
        <w:rPr>
          <w:u w:val="single"/>
        </w:rPr>
        <w:fldChar w:fldCharType="begin"/>
      </w:r>
      <w:r w:rsidR="0048321D">
        <w:rPr>
          <w:u w:val="single"/>
        </w:rPr>
        <w:instrText xml:space="preserve"> REF _Ref_ContractCompanion_9kb9Ur02A \w \h \t \* MERGEFORMAT </w:instrText>
      </w:r>
      <w:r w:rsidR="0048321D">
        <w:rPr>
          <w:u w:val="single"/>
        </w:rPr>
      </w:r>
      <w:r w:rsidR="0048321D">
        <w:rPr>
          <w:u w:val="single"/>
        </w:rPr>
        <w:fldChar w:fldCharType="separate"/>
      </w:r>
      <w:r w:rsidR="006D67B9">
        <w:rPr>
          <w:u w:val="single"/>
        </w:rPr>
        <w:t>2.2(b)</w:t>
      </w:r>
      <w:r w:rsidR="0048321D">
        <w:rPr>
          <w:u w:val="single"/>
        </w:rPr>
        <w:fldChar w:fldCharType="end"/>
      </w:r>
      <w:r w:rsidRPr="003D105E">
        <w:t xml:space="preserve"> of this Agreement, there are no outstanding options, warrants, rights (including conversion or pre-emptive rights and rights of first refusal or similar rights) or agreements, orally or in writing, to purchase or acquire from the Company any Common Shares or Preferred Shares or other securities, or any securities convertible into or exchangeable for Common Shares or Preferred Shares. Upon the Initial Closing, all outstanding Common Shares and all Common Shares underlying outstanding options are subject to (x) a right of first refusal in favour of the Company upon any proposed transfer (other than transfers permitted pursuant to Section [3.1] of the Right of First Refusal and Co-Sale Agreement); and (y) a lock-up or market standoff agreement of not less than 180 days following the Company’s initial public offering pursuant to a registration statement filed with the Securities and Exchange Commission under the 1933 Act or a prospectus filed with a Canadian securities regulatory authority.</w:t>
      </w:r>
    </w:p>
    <w:p w14:paraId="546E147E" w14:textId="0EBAD476" w:rsidR="005216F1" w:rsidRPr="003D105E" w:rsidRDefault="005216F1" w:rsidP="00DA2D7C">
      <w:pPr>
        <w:pStyle w:val="StandardL3"/>
      </w:pPr>
    </w:p>
    <w:p w14:paraId="1E1519FD" w14:textId="487D4EBE" w:rsidR="005216F1" w:rsidRPr="003D105E" w:rsidRDefault="00387E3C" w:rsidP="00DA2D7C">
      <w:pPr>
        <w:pStyle w:val="StandardL4"/>
      </w:pPr>
      <w:r w:rsidRPr="003D105E">
        <w:t>All outstanding Common Shares and all stock options, in each case, held by service providers, other than advisors, were issued subject to a customary vesting schedule: monthly over four years with a one-year cliff.</w:t>
      </w:r>
    </w:p>
    <w:p w14:paraId="2A92CE30" w14:textId="0A42A21F" w:rsidR="005216F1" w:rsidRPr="003D105E" w:rsidRDefault="00387E3C" w:rsidP="00DA2D7C">
      <w:pPr>
        <w:pStyle w:val="StandardL4"/>
      </w:pPr>
      <w:r w:rsidRPr="003D105E">
        <w:t>None of the Company’s share purchase agreements or option documents contains a provision for acceleration of vesting (or lapse of a repurchase right) or other changes in the vesting provisions or other terms of such agreement or understanding upon the occurrence of any event or combination of events, including in the case where the Equity Incentive Plan is not assumed in an acquisition.</w:t>
      </w:r>
    </w:p>
    <w:p w14:paraId="5CFCC1A8" w14:textId="39524399" w:rsidR="005216F1" w:rsidRPr="003D105E" w:rsidRDefault="00387E3C" w:rsidP="00DA2D7C">
      <w:pPr>
        <w:pStyle w:val="StandardL4"/>
      </w:pPr>
      <w:r w:rsidRPr="003D105E">
        <w:t>The Company has never adjusted or amended the exercise price of any options previously awarded, whether through amendment, cancellation, replacement grant, repricing, or any other means.</w:t>
      </w:r>
    </w:p>
    <w:p w14:paraId="679E290A" w14:textId="23F8113C" w:rsidR="005216F1" w:rsidRPr="003D105E" w:rsidRDefault="00387E3C" w:rsidP="00DA2D7C">
      <w:pPr>
        <w:pStyle w:val="StandardL4"/>
      </w:pPr>
      <w:r w:rsidRPr="003D105E">
        <w:t>Except as set forth in the Articles, the Company has no obligation (contingent or otherwise) to purchase or redeem any of the shares in its capital.</w:t>
      </w:r>
    </w:p>
    <w:p w14:paraId="39994AC3" w14:textId="30757CF9" w:rsidR="005216F1" w:rsidRPr="003D105E" w:rsidRDefault="00387E3C" w:rsidP="00DA2D7C">
      <w:pPr>
        <w:pStyle w:val="StandardL3"/>
      </w:pPr>
      <w:r w:rsidRPr="003D105E">
        <w:t>The Company has obtained valid waivers of any rights granted to other parties which may entitle such parties to purchase any of the Shares issued pursuant to this Agreement.</w:t>
      </w:r>
    </w:p>
    <w:p w14:paraId="48D5E46B" w14:textId="55BB4941" w:rsidR="005216F1" w:rsidRPr="003D105E" w:rsidRDefault="00387E3C" w:rsidP="00DA2D7C">
      <w:pPr>
        <w:pStyle w:val="StandardL2"/>
        <w:rPr>
          <w:vanish/>
          <w:specVanish/>
        </w:rPr>
      </w:pPr>
      <w:bookmarkStart w:id="15" w:name="_Ref_ContractCompanion_9kb9Ur019"/>
      <w:bookmarkStart w:id="16" w:name="_Toc219945760"/>
      <w:r w:rsidRPr="003D105E">
        <w:t>Subsidiaries</w:t>
      </w:r>
      <w:bookmarkEnd w:id="15"/>
      <w:bookmarkEnd w:id="16"/>
    </w:p>
    <w:p w14:paraId="50A8C4F2" w14:textId="77777777" w:rsidR="005216F1" w:rsidRPr="003D105E" w:rsidRDefault="00387E3C" w:rsidP="00DA2D7C">
      <w:pPr>
        <w:pStyle w:val="OHHpara"/>
      </w:pPr>
      <w:r w:rsidRPr="003D105E">
        <w:t>. The Company does not currently own or control, directly or indirectly, any interest in any other corporation, partnership, trust, joint venture, limited liability company, association, or other business entity (each, a “</w:t>
      </w:r>
      <w:r w:rsidRPr="003D105E">
        <w:rPr>
          <w:b/>
          <w:bCs/>
        </w:rPr>
        <w:t>subsidiary</w:t>
      </w:r>
      <w:r w:rsidRPr="003D105E">
        <w:t>”). To the extent the Company has one or more subsidiaries, each subsidiary is wholly owned by the Company. The Company is not a participant in any joint venture, partnership or similar arrangement.</w:t>
      </w:r>
    </w:p>
    <w:p w14:paraId="75985D37" w14:textId="0CF62DFD" w:rsidR="005216F1" w:rsidRPr="003D105E" w:rsidRDefault="00387E3C" w:rsidP="00DA2D7C">
      <w:pPr>
        <w:pStyle w:val="StandardL2"/>
        <w:rPr>
          <w:vanish/>
          <w:specVanish/>
        </w:rPr>
      </w:pPr>
      <w:bookmarkStart w:id="17" w:name="_Ref_ContractCompanion_9kb9Ur01B"/>
      <w:bookmarkStart w:id="18" w:name="_Toc219945761"/>
      <w:r w:rsidRPr="003D105E">
        <w:t>Authorization</w:t>
      </w:r>
      <w:bookmarkEnd w:id="17"/>
      <w:bookmarkEnd w:id="18"/>
    </w:p>
    <w:p w14:paraId="713CF6FF" w14:textId="77777777" w:rsidR="005216F1" w:rsidRPr="003D105E" w:rsidRDefault="00387E3C" w:rsidP="00DA2D7C">
      <w:pPr>
        <w:pStyle w:val="OHHpara"/>
      </w:pPr>
      <w:r w:rsidRPr="003D105E">
        <w:t>. All corporate action required to be taken by the Board and the Company’s shareholders in order to authorize the Company to enter into the Transaction Agreements, and to issue the Shares at the applicable Closing and the Voting Common Shares issuable upon conversion of the Shares, has been taken or will be taken prior to the applicable Closing. All action on the part of the officers of the Company necessary for the execution and delivery of the Transaction Agreements, the performance of all obligations of the Company under the Transaction Agreements to be performed as of the applicable Closing, and the issuance and delivery of the Shares has been taken</w:t>
      </w:r>
      <w:r w:rsidRPr="003D105E">
        <w:rPr>
          <w:b/>
          <w:bCs/>
        </w:rPr>
        <w:t xml:space="preserve"> </w:t>
      </w:r>
      <w:r w:rsidRPr="003D105E">
        <w:t>or will be taken prior to the applicable Closing. The Transaction Agreements, when executed and delivered by the Company, shall constitute valid and legally binding obligations of the Company, enforceable against the Company in accordance with their respective terms except (a) as limited by applicable bankruptcy, insolvency, reorganization, moratorium, fraudulent conveyance, or other laws of general application relating to or affecting the enforcement of creditors’ rights generally, (b) as limited by laws relating to the availability of specific performance, injunctive relief, or other equitable remedies, or (c) to the extent the indemnification provisions contained in the Investors’ Rights Agreement, Voting Agreement and the Indemnification Agreements may be limited by Applicable Securities Laws.</w:t>
      </w:r>
    </w:p>
    <w:p w14:paraId="4ADC83C1" w14:textId="5B4F018D" w:rsidR="005216F1" w:rsidRPr="003D105E" w:rsidRDefault="00387E3C" w:rsidP="00DA2D7C">
      <w:pPr>
        <w:pStyle w:val="StandardL2"/>
        <w:rPr>
          <w:vanish/>
          <w:specVanish/>
        </w:rPr>
      </w:pPr>
      <w:bookmarkStart w:id="19" w:name="_Ref_ContractCompanion_9kb9Ur024"/>
      <w:bookmarkStart w:id="20" w:name="_Toc219945762"/>
      <w:r w:rsidRPr="003D105E">
        <w:t>Valid Issuance of Shares</w:t>
      </w:r>
      <w:bookmarkEnd w:id="19"/>
      <w:bookmarkEnd w:id="20"/>
    </w:p>
    <w:p w14:paraId="08B76B58" w14:textId="028B9EC1" w:rsidR="005216F1" w:rsidRPr="003D105E" w:rsidRDefault="00387E3C" w:rsidP="00DA2D7C">
      <w:pPr>
        <w:pStyle w:val="OHHpara"/>
      </w:pPr>
      <w:r w:rsidRPr="003D105E">
        <w:t xml:space="preserve">. The Shares, when issued, sold and delivered in accordance with the terms and for the consideration set forth in this Agreement, will be validly issued, fully paid and nonassessable and free of restrictions on transfer other than restrictions on transfer under the Transaction Agreements, Applicable Securities Laws and liens or encumbrances created by or imposed by a Purchaser. Assuming the accuracy of the representations of the Purchasers in </w:t>
      </w:r>
      <w:r w:rsidRPr="003D105E">
        <w:rPr>
          <w:u w:val="single"/>
        </w:rPr>
        <w:t xml:space="preserve">Section </w:t>
      </w:r>
      <w:r w:rsidR="0048321D">
        <w:rPr>
          <w:u w:val="single"/>
        </w:rPr>
        <w:fldChar w:fldCharType="begin"/>
      </w:r>
      <w:r w:rsidR="0048321D">
        <w:rPr>
          <w:u w:val="single"/>
        </w:rPr>
        <w:instrText xml:space="preserve"> REF _Ref_ContractCompanion_9kb9Ur02C \w \n \h \t \* MERGEFORMAT </w:instrText>
      </w:r>
      <w:r w:rsidR="0048321D">
        <w:rPr>
          <w:u w:val="single"/>
        </w:rPr>
      </w:r>
      <w:r w:rsidR="0048321D">
        <w:rPr>
          <w:u w:val="single"/>
        </w:rPr>
        <w:fldChar w:fldCharType="separate"/>
      </w:r>
      <w:r w:rsidR="006D67B9">
        <w:rPr>
          <w:u w:val="single"/>
        </w:rPr>
        <w:t>3</w:t>
      </w:r>
      <w:r w:rsidR="0048321D">
        <w:rPr>
          <w:u w:val="single"/>
        </w:rPr>
        <w:fldChar w:fldCharType="end"/>
      </w:r>
      <w:r w:rsidRPr="003D105E">
        <w:t xml:space="preserve"> and subject to the filings described in </w:t>
      </w:r>
      <w:r w:rsidRPr="003D105E">
        <w:rPr>
          <w:u w:val="single"/>
        </w:rPr>
        <w:t>Section </w:t>
      </w:r>
      <w:r w:rsidR="0048321D">
        <w:rPr>
          <w:u w:val="single"/>
        </w:rPr>
        <w:fldChar w:fldCharType="begin"/>
      </w:r>
      <w:r w:rsidR="0048321D">
        <w:rPr>
          <w:u w:val="single"/>
        </w:rPr>
        <w:instrText xml:space="preserve"> REF _Ref_ContractCompanion_9kb9Ur026 \n \h \t \* MERGEFORMAT </w:instrText>
      </w:r>
      <w:r w:rsidR="0048321D">
        <w:rPr>
          <w:u w:val="single"/>
        </w:rPr>
      </w:r>
      <w:r w:rsidR="0048321D">
        <w:rPr>
          <w:u w:val="single"/>
        </w:rPr>
        <w:fldChar w:fldCharType="separate"/>
      </w:r>
      <w:r w:rsidR="006D67B9">
        <w:rPr>
          <w:u w:val="single"/>
        </w:rPr>
        <w:t>2.6</w:t>
      </w:r>
      <w:r w:rsidR="0048321D">
        <w:rPr>
          <w:u w:val="single"/>
        </w:rPr>
        <w:fldChar w:fldCharType="end"/>
      </w:r>
      <w:r w:rsidRPr="003D105E">
        <w:t xml:space="preserve">, the Shares will be issued in compliance with all Applicable Securities Laws. The Voting Common Shares issuable upon conversion of the Shares have been duly reserved for issuance, and upon issuance in accordance with the terms of the Articles, will be validly issued, fully paid and nonassessable and free of restrictions on transfer other than restrictions on transfer under the Transaction Agreements, Applicable Securities Laws and liens or encumbrances created by or imposed by a Purchaser. Assuming the accuracy of the representations of the Purchasers in </w:t>
      </w:r>
      <w:r w:rsidRPr="003D105E">
        <w:rPr>
          <w:u w:val="single"/>
        </w:rPr>
        <w:t xml:space="preserve">Section </w:t>
      </w:r>
      <w:r w:rsidR="0048321D">
        <w:rPr>
          <w:u w:val="single"/>
        </w:rPr>
        <w:fldChar w:fldCharType="begin"/>
      </w:r>
      <w:r w:rsidR="0048321D">
        <w:rPr>
          <w:u w:val="single"/>
        </w:rPr>
        <w:instrText xml:space="preserve"> REF _Ref_ContractCompanion_9kb9Ur02C \w \n \h \t \* MERGEFORMAT </w:instrText>
      </w:r>
      <w:r w:rsidR="0048321D">
        <w:rPr>
          <w:u w:val="single"/>
        </w:rPr>
      </w:r>
      <w:r w:rsidR="0048321D">
        <w:rPr>
          <w:u w:val="single"/>
        </w:rPr>
        <w:fldChar w:fldCharType="separate"/>
      </w:r>
      <w:r w:rsidR="006D67B9">
        <w:rPr>
          <w:u w:val="single"/>
        </w:rPr>
        <w:t>3</w:t>
      </w:r>
      <w:r w:rsidR="0048321D">
        <w:rPr>
          <w:u w:val="single"/>
        </w:rPr>
        <w:fldChar w:fldCharType="end"/>
      </w:r>
      <w:r w:rsidRPr="003D105E">
        <w:t xml:space="preserve">, and subject to </w:t>
      </w:r>
      <w:r w:rsidRPr="003D105E">
        <w:rPr>
          <w:u w:val="single"/>
        </w:rPr>
        <w:t>Section </w:t>
      </w:r>
      <w:r w:rsidR="0048321D">
        <w:rPr>
          <w:u w:val="single"/>
        </w:rPr>
        <w:fldChar w:fldCharType="begin"/>
      </w:r>
      <w:r w:rsidR="0048321D">
        <w:rPr>
          <w:u w:val="single"/>
        </w:rPr>
        <w:instrText xml:space="preserve"> REF _Ref_ContractCompanion_9kb9Ur026 \n \h \t \* MERGEFORMAT </w:instrText>
      </w:r>
      <w:r w:rsidR="0048321D">
        <w:rPr>
          <w:u w:val="single"/>
        </w:rPr>
      </w:r>
      <w:r w:rsidR="0048321D">
        <w:rPr>
          <w:u w:val="single"/>
        </w:rPr>
        <w:fldChar w:fldCharType="separate"/>
      </w:r>
      <w:r w:rsidR="006D67B9">
        <w:rPr>
          <w:u w:val="single"/>
        </w:rPr>
        <w:t>2.6</w:t>
      </w:r>
      <w:r w:rsidR="0048321D">
        <w:rPr>
          <w:u w:val="single"/>
        </w:rPr>
        <w:fldChar w:fldCharType="end"/>
      </w:r>
      <w:r w:rsidRPr="003D105E">
        <w:t>, the Voting Common Shares issuable upon conversion of the Shares will be issued in compliance with all Applicable Securities Laws.</w:t>
      </w:r>
    </w:p>
    <w:p w14:paraId="7F9DB57A" w14:textId="00FB525F" w:rsidR="005216F1" w:rsidRPr="003D105E" w:rsidRDefault="00387E3C" w:rsidP="00DA2D7C">
      <w:pPr>
        <w:pStyle w:val="StandardL2"/>
        <w:rPr>
          <w:vanish/>
          <w:specVanish/>
        </w:rPr>
      </w:pPr>
      <w:bookmarkStart w:id="21" w:name="_Ref_ContractCompanion_9kb9Ur026"/>
      <w:bookmarkStart w:id="22" w:name="_Toc219945763"/>
      <w:r w:rsidRPr="003D105E">
        <w:t>Governmental Consents and Filings</w:t>
      </w:r>
      <w:bookmarkEnd w:id="21"/>
      <w:bookmarkEnd w:id="22"/>
    </w:p>
    <w:p w14:paraId="60481775" w14:textId="1C12E42E" w:rsidR="005216F1" w:rsidRPr="003D105E" w:rsidRDefault="00387E3C" w:rsidP="00DA2D7C">
      <w:pPr>
        <w:pStyle w:val="OHHpara"/>
      </w:pPr>
      <w:r w:rsidRPr="003D105E">
        <w:t>.</w:t>
      </w:r>
      <w:r w:rsidRPr="003D105E">
        <w:rPr>
          <w:bCs/>
        </w:rPr>
        <w:t xml:space="preserve"> </w:t>
      </w:r>
      <w:r w:rsidRPr="003D105E">
        <w:t xml:space="preserve">Assuming the accuracy of the representations made by the Purchasers in </w:t>
      </w:r>
      <w:r w:rsidRPr="003D105E">
        <w:rPr>
          <w:u w:val="single"/>
        </w:rPr>
        <w:t xml:space="preserve">Section </w:t>
      </w:r>
      <w:r w:rsidR="0048321D">
        <w:rPr>
          <w:u w:val="single"/>
        </w:rPr>
        <w:fldChar w:fldCharType="begin"/>
      </w:r>
      <w:r w:rsidR="0048321D">
        <w:rPr>
          <w:u w:val="single"/>
        </w:rPr>
        <w:instrText xml:space="preserve"> REF _Ref_ContractCompanion_9kb9Ur02C \w \n \h \t \* MERGEFORMAT </w:instrText>
      </w:r>
      <w:r w:rsidR="0048321D">
        <w:rPr>
          <w:u w:val="single"/>
        </w:rPr>
      </w:r>
      <w:r w:rsidR="0048321D">
        <w:rPr>
          <w:u w:val="single"/>
        </w:rPr>
        <w:fldChar w:fldCharType="separate"/>
      </w:r>
      <w:r w:rsidR="006D67B9">
        <w:rPr>
          <w:u w:val="single"/>
        </w:rPr>
        <w:t>3</w:t>
      </w:r>
      <w:r w:rsidR="0048321D">
        <w:rPr>
          <w:u w:val="single"/>
        </w:rPr>
        <w:fldChar w:fldCharType="end"/>
      </w:r>
      <w:r w:rsidRPr="003D105E">
        <w:t xml:space="preserve"> of this Agreement, no consent, approval, order or authorization of, or registration, qualification, designation, declaration or filing with, any federal, provincial, state or local governmental authority is required on the part of the Company in connection with the consummation of the transactions contemplated by this Agreement, except for (</w:t>
      </w:r>
      <w:r w:rsidR="00030830">
        <w:t>a</w:t>
      </w:r>
      <w:r w:rsidRPr="003D105E">
        <w:t>) the filing of the Articles of Amendment, which will have been filed on or prior to the Initial Closing, and (</w:t>
      </w:r>
      <w:r w:rsidR="00030830">
        <w:t>b</w:t>
      </w:r>
      <w:r w:rsidRPr="003D105E">
        <w:t>) filings pursuant to Applicable Securities Laws (if any).</w:t>
      </w:r>
    </w:p>
    <w:p w14:paraId="48B8D35F" w14:textId="4493B950" w:rsidR="005216F1" w:rsidRPr="003D105E" w:rsidRDefault="00387E3C" w:rsidP="00DA2D7C">
      <w:pPr>
        <w:pStyle w:val="StandardL2"/>
        <w:rPr>
          <w:i/>
          <w:vanish/>
          <w:specVanish/>
        </w:rPr>
      </w:pPr>
      <w:bookmarkStart w:id="23" w:name="_Toc219945764"/>
      <w:r w:rsidRPr="003D105E">
        <w:t>Litigation</w:t>
      </w:r>
      <w:bookmarkEnd w:id="23"/>
    </w:p>
    <w:p w14:paraId="7591C49E" w14:textId="77777777" w:rsidR="005216F1" w:rsidRPr="003D105E" w:rsidRDefault="00387E3C" w:rsidP="00DA2D7C">
      <w:pPr>
        <w:pStyle w:val="OHHpara"/>
        <w:rPr>
          <w:i/>
        </w:rPr>
      </w:pPr>
      <w:r w:rsidRPr="003D105E">
        <w:t>. There is no claim, action, suit, proceeding, arbitration, complaint, charge or investigation pending or to the Company’s knowledge, currently threatened (a) against the Company or any officer, director or Founder of the Company arising out of their employment or Board relationship with the Company; (b) to the Company’s knowledge, that questions the validity of the Transaction Agreements or the right of the Company to enter into them, or to consummate the transactions contemplated by the Transaction Agreements; or (c) that would reasonably be expected to have, either individually or in the aggregate, a Material Adverse Effect. Neither the Company nor, to the Company’s knowledge, any of its officers, directors or Founders is a party or is named as subject to the provisions of any order, writ, injunction, judgment or decree of any court or government agency or instrumentality (in the case of Officers or directors, such as would affect the Company). There is no action, suit, proceeding or investigation by the Company pending or that the Company intends to initiate. The foregoing includes actions, suits, proceedings or investigations pending or threatened in writing (or any basis therefor known to the Company) involving the prior employment of any of the Company’s employees, their services provided in connection with the Company’s business, any information or techniques allegedly proprietary to any of their former employers, or their obligations under any agreements with prior employers.</w:t>
      </w:r>
    </w:p>
    <w:p w14:paraId="7430CAD2" w14:textId="723911BF" w:rsidR="005216F1" w:rsidRPr="003D105E" w:rsidRDefault="00387E3C" w:rsidP="00DA2D7C">
      <w:pPr>
        <w:pStyle w:val="StandardL2"/>
        <w:rPr>
          <w:vanish/>
          <w:specVanish/>
        </w:rPr>
      </w:pPr>
      <w:bookmarkStart w:id="24" w:name="_Toc219945765"/>
      <w:r w:rsidRPr="003D105E">
        <w:t>Intellectual Property</w:t>
      </w:r>
      <w:bookmarkEnd w:id="24"/>
    </w:p>
    <w:p w14:paraId="0EE1CA03" w14:textId="77777777" w:rsidR="005216F1" w:rsidRPr="003D105E" w:rsidRDefault="00387E3C" w:rsidP="00DA2D7C">
      <w:pPr>
        <w:pStyle w:val="OHHpara"/>
      </w:pPr>
      <w:r w:rsidRPr="003D105E">
        <w:t>.</w:t>
      </w:r>
    </w:p>
    <w:p w14:paraId="070F81FA" w14:textId="26482896" w:rsidR="005216F1" w:rsidRPr="003D105E" w:rsidRDefault="00387E3C" w:rsidP="00DA2D7C">
      <w:pPr>
        <w:pStyle w:val="StandardL3"/>
      </w:pPr>
      <w:r w:rsidRPr="003D105E">
        <w:t>The Company owns, possesses, has developed, or has acquired legal rights to all Company Intellectual Property sufficient to carry out its business as now conducted[; provided that the foregoing representation is made to the Company’s knowledge with respect to patents and trademarks].</w:t>
      </w:r>
    </w:p>
    <w:p w14:paraId="78F9FFBA" w14:textId="3949CAF3" w:rsidR="005216F1" w:rsidRPr="003D105E" w:rsidRDefault="00387E3C" w:rsidP="00DA2D7C">
      <w:pPr>
        <w:pStyle w:val="StandardL3"/>
      </w:pPr>
      <w:r w:rsidRPr="003D105E">
        <w:t>No product or service or activity of the Company has infringed or violated, or infringes or otherwise violates any Intellectual Property Rights of a third Person[; provided that the foregoing representation is made to the Company’s knowledge with respect to patents and trademarks].</w:t>
      </w:r>
    </w:p>
    <w:p w14:paraId="29D46D58" w14:textId="5EFB988E" w:rsidR="005216F1" w:rsidRPr="003D105E" w:rsidRDefault="00387E3C" w:rsidP="00DA2D7C">
      <w:pPr>
        <w:pStyle w:val="StandardL3"/>
      </w:pPr>
      <w:r w:rsidRPr="003D105E">
        <w:t>To the Company’s knowledge, by conducting the Company’s business as currently conducted or as presently proposed, the Company would not infringe or violate any of the Intellectual Property Rights of a third Person. The Company has not received any unsolicited offers to license any Intellectual Property Rights from any third Person.</w:t>
      </w:r>
    </w:p>
    <w:p w14:paraId="55739CAA" w14:textId="751855FA" w:rsidR="005216F1" w:rsidRPr="003D105E" w:rsidRDefault="00387E3C" w:rsidP="00DA2D7C">
      <w:pPr>
        <w:pStyle w:val="StandardL3"/>
      </w:pPr>
      <w:r w:rsidRPr="003D105E">
        <w:t>To the Company’s knowledge, no third Person is presently infringing any Company Owned Intellectual Property in a way that is expected to have a Material Adverse Effect.</w:t>
      </w:r>
    </w:p>
    <w:p w14:paraId="4F4DFB7A" w14:textId="41A74238" w:rsidR="005216F1" w:rsidRPr="003D105E" w:rsidRDefault="00387E3C" w:rsidP="00DA2D7C">
      <w:pPr>
        <w:pStyle w:val="StandardL3"/>
      </w:pPr>
      <w:r w:rsidRPr="003D105E">
        <w:t>Other than pursuant to: (i) standard agreements, including license or services agreements, for the Company’s products and services on substantially the Company’s standard forms made available to the Purchasers; (ii) customary nondisclosure agreements entered into by the Company in the ordinary course of business (that do not include any terms (A) assigning Intellectual Property Rights, or (B) constituting a covenant not to assert Intellectual Property Rights); (iii) nonexclusive feedback licenses and nonexclusive licenses to use trademarks, in each case that are incidental to the subject matter of the applicable agreement in which they are incorporated; and (iv) licenses to a service provider for the purpose of allowing such service provider to provide services to the Company (collectively, “</w:t>
      </w:r>
      <w:r w:rsidRPr="003D105E">
        <w:rPr>
          <w:b/>
          <w:bCs/>
        </w:rPr>
        <w:t>Standard Outbound Agreements</w:t>
      </w:r>
      <w:r w:rsidRPr="003D105E">
        <w:t>”), the Company has not granted to a third Person any options, licenses, covenants not to assert, agreements, claims, encumbrances or shared ownership interests of any kind relating to the Company Owned Intellectual Property that are material to the Company’s business as now conducted.</w:t>
      </w:r>
    </w:p>
    <w:p w14:paraId="7DB5495D" w14:textId="48A4357C" w:rsidR="005216F1" w:rsidRPr="003D105E" w:rsidRDefault="00387E3C" w:rsidP="00DA2D7C">
      <w:pPr>
        <w:pStyle w:val="StandardL3"/>
      </w:pPr>
      <w:r w:rsidRPr="003D105E">
        <w:t>Other than pursuant to: (i) standard agreements, including license or services agreements, for commercially available software products and cloud services non-exclusively licensed or made available to Company under standard terms;  (ii) licenses from contractors granted in connection with providing services to the Company; (iii) licenses to Open Source Software (as defined below); (iv) customary nondisclosure agreements entered into by the Company in the ordinary course of business that do not include any terms (A) assigning Intellectual Property Rights, or (B) constituting a covenant not to assert Intellectual Property Rights; (v) nonexclusive feedback licenses and nonexclusive licenses to use trademarks, in each case that are incidental to the subject matter of the applicable agreement in which they are incorporated; and (vi) licenses to the Company for the purpose of enabling the Company to provide services to the licensor (collectively, “</w:t>
      </w:r>
      <w:r w:rsidRPr="003D105E">
        <w:rPr>
          <w:b/>
          <w:bCs/>
        </w:rPr>
        <w:t>Standard Inbound Agreements</w:t>
      </w:r>
      <w:r w:rsidRPr="003D105E">
        <w:t>”), the Company is not bound by or a party to any options, licenses, covenants not to assert or other grants or agreements of any kind with respect to Intellectual Property Rights of any third Person that are material to the Company’s business as now conducted.</w:t>
      </w:r>
    </w:p>
    <w:p w14:paraId="2ECC7105" w14:textId="5EA4B966" w:rsidR="005216F1" w:rsidRPr="003D105E" w:rsidRDefault="00387E3C" w:rsidP="00DA2D7C">
      <w:pPr>
        <w:pStyle w:val="StandardL3"/>
      </w:pPr>
      <w:r w:rsidRPr="003D105E">
        <w:t>The Company has taken commercially reasonable measures to maintain and protect all confidential information and trade secrets of the Company that the Company intended to maintain as confidential or a trade secret. To the Company’s knowledge, [except as would not reasonably be expected to result in a Material Adverse Effect], there has been no unlawful, accidental, or unauthorized access to or use or disclosure of any confidential information and trade secrets of the Company that the Company intended to maintain as confidential or a trade secret.</w:t>
      </w:r>
    </w:p>
    <w:p w14:paraId="74188695" w14:textId="1F230332" w:rsidR="005216F1" w:rsidRPr="003D105E" w:rsidRDefault="00387E3C" w:rsidP="00DA2D7C">
      <w:pPr>
        <w:pStyle w:val="StandardL3"/>
      </w:pPr>
      <w:r w:rsidRPr="003D105E">
        <w:t>Each current and former employee and contractor of the Company who was involved in the development of any material Company Owned Intellectual Property has (i) assigned to the Company all Intellectual Property Rights that such employee or contractor has solely or jointly conceived, reduced to practice, developed, or made during the period of its employment or engagement with the Company that resulted from such employee or contractor’s performance of services for the Company; and (ii) executed an agreement with the Company regarding confidentiality and proprietary information, and assignment of Intellectual Property Rights developed by or for the Company, and waiver of any moral rights thereto such employee or contractor may have, substantially in the form or forms made available to the Purchasers or their respective counsel (the “</w:t>
      </w:r>
      <w:r w:rsidRPr="003D105E">
        <w:rPr>
          <w:b/>
          <w:bCs/>
        </w:rPr>
        <w:t>Intellectual Property and</w:t>
      </w:r>
      <w:r w:rsidRPr="003D105E">
        <w:t xml:space="preserve"> </w:t>
      </w:r>
      <w:r w:rsidRPr="003D105E">
        <w:rPr>
          <w:b/>
          <w:bCs/>
        </w:rPr>
        <w:t>Confidential Information Agreements</w:t>
      </w:r>
      <w:r w:rsidRPr="003D105E">
        <w:t>”). No such employee or contractor has excluded Intellectual Property Rights from the assignment of Intellectual Property Rights pursuant to such Person’s Intellectual Property and Confidential Information Agreement, which excluded Intellectual Property Rights would be material to the Company in the conduct of the Company’s business as now conducted or currently proposed to be conducted. The Company is not aware that any current or former employee or contractor is in violation of any Intellectual Property and Confidential Information Agreement.</w:t>
      </w:r>
    </w:p>
    <w:p w14:paraId="6BF0040D" w14:textId="1948C539" w:rsidR="005216F1" w:rsidRPr="003D105E" w:rsidRDefault="00387E3C" w:rsidP="00DA2D7C">
      <w:pPr>
        <w:pStyle w:val="StandardL3"/>
      </w:pPr>
      <w:r w:rsidRPr="003D105E">
        <w:t>The Company has not embedded, used, linked or distributed any open source software, technologies or other materials that are licensed or distributed under any license arrangement or other distribution model qualifying as “Open Source” under the definition promulgated by the Open Source Initiative at www.opensource.org/osd (collectively, “</w:t>
      </w:r>
      <w:r w:rsidRPr="003D105E">
        <w:rPr>
          <w:b/>
          <w:bCs/>
        </w:rPr>
        <w:t>Open Source Software</w:t>
      </w:r>
      <w:r w:rsidRPr="003D105E">
        <w:t>”) in connection with any of its products or services in any manner that requires, or purports to require, (i) any material software code owned by the Company (“</w:t>
      </w:r>
      <w:r w:rsidRPr="003D105E">
        <w:rPr>
          <w:b/>
          <w:bCs/>
        </w:rPr>
        <w:t>Company Code</w:t>
      </w:r>
      <w:r w:rsidRPr="003D105E">
        <w:t>”) to be disclosed or distributed in source code form or be licensed for the purpose of making derivative works; (ii) any restriction on the consideration to be charged for the distribution of any such Company Code; (iii) the grant to any third Person of any rights or immunities under material Company Owned Intellectual Property; or (iv) any other material limitation, restriction or condition on the right of the Company with respect to its use or distribution of any material Company Owned Intellectual Property (other than attribution, warranty and liability disclaimer, and notice delivery conditions). The Company is in material compliance with all licenses for Open Source Software that it embeds, links to, uses or distributes.</w:t>
      </w:r>
    </w:p>
    <w:p w14:paraId="71D865B9" w14:textId="17C2CCCA" w:rsidR="005216F1" w:rsidRPr="003D105E" w:rsidRDefault="00387E3C" w:rsidP="00DA2D7C">
      <w:pPr>
        <w:pStyle w:val="StandardL3"/>
      </w:pPr>
      <w:r w:rsidRPr="003D105E">
        <w:t>No government funding, facilities of a university, college, hospital, foundation, other educational institution or research center, was used in the development of any Company Owned Intellectual Property in a manner that has resulted in such entity retaining any claim of ownership or right to use any such Company Owned Intellectual Property. To the Company’s knowledge, no Person who was involved in, or who contributed to, the creation or development of any Company Owned Intellectual Property, has performed services for the government, university, college, hospital, foundation, or other educational institution or research center in a manner that would result in a Material Adverse Effect to the Company’s rights in the Company Owned Intellectual Property.</w:t>
      </w:r>
    </w:p>
    <w:p w14:paraId="15C365EB" w14:textId="273713E3" w:rsidR="005216F1" w:rsidRPr="003D105E" w:rsidRDefault="00387E3C" w:rsidP="00DA2D7C">
      <w:pPr>
        <w:pStyle w:val="StandardL3"/>
        <w:rPr>
          <w:vanish/>
          <w:specVanish/>
        </w:rPr>
      </w:pPr>
      <w:r w:rsidRPr="003D105E">
        <w:rPr>
          <w:specVanish/>
        </w:rPr>
        <w:t>[</w:t>
      </w:r>
      <w:r w:rsidRPr="00030830">
        <w:rPr>
          <w:u w:val="single"/>
          <w:specVanish/>
        </w:rPr>
        <w:t>Generative AI</w:t>
      </w:r>
      <w:r w:rsidRPr="003D105E">
        <w:rPr>
          <w:specVanish/>
        </w:rPr>
        <w:t>.</w:t>
      </w:r>
    </w:p>
    <w:p w14:paraId="042997A8" w14:textId="5524C1F9" w:rsidR="005216F1" w:rsidRPr="003D105E" w:rsidRDefault="00030830" w:rsidP="00DA2D7C">
      <w:pPr>
        <w:pStyle w:val="StandardL3"/>
      </w:pPr>
      <w:r>
        <w:t xml:space="preserve"> </w:t>
      </w:r>
      <w:r w:rsidR="00387E3C" w:rsidRPr="003D105E">
        <w:t>The Company uses all Generative AI Tools (as defined below) in material compliance with the applicable license terms, consents, agreements and laws. The Company has not used Generative AI Tools to develop any material Company Owned Intellectual Property that the Company intended to maintain as proprietary in a manner that it believes would materially affect the Company’s ownership or rights therein. For purposes hereof, “</w:t>
      </w:r>
      <w:r w:rsidR="00387E3C" w:rsidRPr="003D105E">
        <w:rPr>
          <w:b/>
          <w:bCs/>
        </w:rPr>
        <w:t>Generative AI Tools</w:t>
      </w:r>
      <w:r w:rsidR="00387E3C" w:rsidRPr="003D105E">
        <w:t>” means third party generative machine learning technology tools capable of automatically producing various types of content (such as source code, text, images, audio, and synthetic data) based on user-supplied prompts.]</w:t>
      </w:r>
    </w:p>
    <w:p w14:paraId="4AABACBF" w14:textId="126AAFF8" w:rsidR="005216F1" w:rsidRPr="003D105E" w:rsidRDefault="00387E3C" w:rsidP="00DA2D7C">
      <w:pPr>
        <w:pStyle w:val="StandardL2"/>
        <w:rPr>
          <w:vanish/>
          <w:specVanish/>
        </w:rPr>
      </w:pPr>
      <w:bookmarkStart w:id="25" w:name="_Toc219945766"/>
      <w:r w:rsidRPr="003D105E">
        <w:t>Compliance with Other Instruments</w:t>
      </w:r>
      <w:bookmarkEnd w:id="25"/>
    </w:p>
    <w:p w14:paraId="370EF560" w14:textId="77777777" w:rsidR="005216F1" w:rsidRPr="003D105E" w:rsidRDefault="00387E3C" w:rsidP="00DA2D7C">
      <w:pPr>
        <w:pStyle w:val="OHHpara"/>
      </w:pPr>
      <w:r w:rsidRPr="003D105E">
        <w:t>. The Company is not in violation or default (a) of any provisions of its Articles or Bylaws, (b) in any material respect of any instrument, judgment, order, writ or decree, (c) in any material respect under any note, indenture or mortgage, (d) in any material respect under any lease, agreement, contract or purchase order to which it is a party or by which it is bound that is required to be listed on the Disclosure Schedule,</w:t>
      </w:r>
      <w:r w:rsidRPr="003D105E">
        <w:rPr>
          <w:i/>
        </w:rPr>
        <w:t xml:space="preserve"> </w:t>
      </w:r>
      <w:r w:rsidRPr="003D105E">
        <w:t>or (e) of any provision of any statute, rule or regulation applicable to the Company, the violation of which would have a Material Adverse Effect. The execution, delivery and performance of the Transaction Agreements and the consummation of the transactions contemplated by the Transaction Agreements will not result in any such violation or be in conflict with or constitute, with or without the passage of time and giving of notice, either (i) a default under any such provision, instrument, judgment, order, writ, decree, contract or agreement or (ii) an event that results in the creation of any lien, charge or encumbrance upon any assets of the Company or the suspension, revocation, forfeiture, or nonrenewal of any material permit or license applicable to the Company.</w:t>
      </w:r>
    </w:p>
    <w:p w14:paraId="46813768" w14:textId="77777777" w:rsidR="00DA2D7C" w:rsidRPr="00DA2D7C" w:rsidRDefault="00387E3C" w:rsidP="00DA2D7C">
      <w:pPr>
        <w:pStyle w:val="StandardL2"/>
        <w:rPr>
          <w:vanish/>
          <w:specVanish/>
        </w:rPr>
      </w:pPr>
      <w:bookmarkStart w:id="26" w:name="_Ref_ContractCompanion_9kb9Ur039"/>
      <w:bookmarkStart w:id="27" w:name="_Toc219945767"/>
      <w:r w:rsidRPr="003D105E">
        <w:t>Agreements; Actions</w:t>
      </w:r>
      <w:bookmarkEnd w:id="26"/>
      <w:bookmarkEnd w:id="27"/>
    </w:p>
    <w:p w14:paraId="53E8437C" w14:textId="2C1454F8" w:rsidR="005216F1" w:rsidRPr="003D105E" w:rsidRDefault="00387E3C" w:rsidP="00DA2D7C">
      <w:pPr>
        <w:pStyle w:val="OHHpara"/>
      </w:pPr>
      <w:r w:rsidRPr="003D105E">
        <w:t>.</w:t>
      </w:r>
    </w:p>
    <w:p w14:paraId="1071BD33" w14:textId="4ACA5853" w:rsidR="005216F1" w:rsidRPr="003D105E" w:rsidRDefault="00387E3C" w:rsidP="00DA2D7C">
      <w:pPr>
        <w:pStyle w:val="StandardL3"/>
        <w:rPr>
          <w:lang w:val="en-US"/>
        </w:rPr>
      </w:pPr>
      <w:bookmarkStart w:id="28" w:name="_Ref_ContractCompanion_9kb9Ur035"/>
      <w:r w:rsidRPr="003D105E">
        <w:rPr>
          <w:lang w:val="en-US"/>
        </w:rPr>
        <w:t>Except for the Transaction Agreements, there are no agreements, understandings, instruments, contracts or proposed transactions to which the Company is a party or by which it is bound that involve (i) obligations (contingent or otherwise) of, or payments to, the Company in excess of $</w:t>
      </w:r>
      <w:r w:rsidR="004570F1" w:rsidRPr="004570F1">
        <w:rPr>
          <w:rStyle w:val="Prompt"/>
        </w:rPr>
        <w:sym w:font="Wingdings" w:char="F06C"/>
      </w:r>
      <w:r w:rsidRPr="003D105E">
        <w:rPr>
          <w:lang w:val="en-US"/>
        </w:rPr>
        <w:t xml:space="preserve"> (other than employment agreements and offer letters), (ii) the grant of rights to manufacture, produce, assemble, license, market, or sell its products to any other Person that limit the Company’s exclusive right to develop, manufacture, assemble, distribute, market or sell its products, or (iii) </w:t>
      </w:r>
      <w:r w:rsidRPr="003D105E">
        <w:t>any “most favored” provisions, Board observer rights, or other side letter agreements not otherwise disclosed pursuant to any other representation</w:t>
      </w:r>
      <w:r w:rsidRPr="003D105E">
        <w:rPr>
          <w:lang w:val="en-US"/>
        </w:rPr>
        <w:t>.</w:t>
      </w:r>
      <w:bookmarkEnd w:id="28"/>
    </w:p>
    <w:p w14:paraId="7673F623" w14:textId="05D28159" w:rsidR="005216F1" w:rsidRPr="003D105E" w:rsidRDefault="00387E3C" w:rsidP="00DA2D7C">
      <w:pPr>
        <w:pStyle w:val="StandardL3"/>
      </w:pPr>
      <w:bookmarkStart w:id="29" w:name="_Ref_ContractCompanion_9kb9Ur037"/>
      <w:r w:rsidRPr="003D105E">
        <w:t>The Company has not (i) declared or paid any dividends, or authorized or made any distribution upon or with respect to any class or series of shares in its capital, (ii) incurred any indebtedness for money borrowed or incurred any other liabilities individually in excess of $</w:t>
      </w:r>
      <w:r w:rsidR="004570F1">
        <w:rPr>
          <w:rStyle w:val="Prompt"/>
        </w:rPr>
        <w:sym w:font="Wingdings" w:char="F06C"/>
      </w:r>
      <w:r w:rsidRPr="003D105E">
        <w:t xml:space="preserve"> or in excess of $</w:t>
      </w:r>
      <w:r w:rsidR="004570F1">
        <w:rPr>
          <w:rStyle w:val="Prompt"/>
        </w:rPr>
        <w:sym w:font="Wingdings" w:char="F06C"/>
      </w:r>
      <w:r w:rsidRPr="003D105E">
        <w:t xml:space="preserve"> in the aggregate, (iii) made any loans or advances to any Person, other than ordinary advances for business expenses, or (iv) sold, exchanged or otherwise disposed of any material portion of its assets or rights, other than in the ordinary course of business. For the purposes of subsections </w:t>
      </w:r>
      <w:r w:rsidR="0048321D">
        <w:fldChar w:fldCharType="begin"/>
      </w:r>
      <w:r w:rsidR="0048321D">
        <w:instrText xml:space="preserve"> REF _Ref_ContractCompanion_9kb9Ur035 \w \n \h \t \* MERGEFORMAT </w:instrText>
      </w:r>
      <w:r w:rsidR="0048321D">
        <w:fldChar w:fldCharType="separate"/>
      </w:r>
      <w:r w:rsidR="006D67B9">
        <w:t>(a)</w:t>
      </w:r>
      <w:r w:rsidR="0048321D">
        <w:fldChar w:fldCharType="end"/>
      </w:r>
      <w:r w:rsidRPr="003D105E">
        <w:t xml:space="preserve"> and </w:t>
      </w:r>
      <w:r w:rsidR="0048321D">
        <w:fldChar w:fldCharType="begin"/>
      </w:r>
      <w:r w:rsidR="0048321D">
        <w:instrText xml:space="preserve"> REF _Ref_ContractCompanion_9kb9Ur037 \w \n \h \t \* MERGEFORMAT </w:instrText>
      </w:r>
      <w:r w:rsidR="0048321D">
        <w:fldChar w:fldCharType="separate"/>
      </w:r>
      <w:r w:rsidR="006D67B9">
        <w:t>(b)</w:t>
      </w:r>
      <w:r w:rsidR="0048321D">
        <w:fldChar w:fldCharType="end"/>
      </w:r>
      <w:r w:rsidRPr="003D105E">
        <w:t xml:space="preserve"> of this </w:t>
      </w:r>
      <w:r w:rsidRPr="003D105E">
        <w:rPr>
          <w:u w:val="single"/>
        </w:rPr>
        <w:t xml:space="preserve">Section </w:t>
      </w:r>
      <w:r w:rsidR="0048321D">
        <w:rPr>
          <w:u w:val="single"/>
        </w:rPr>
        <w:fldChar w:fldCharType="begin"/>
      </w:r>
      <w:r w:rsidR="0048321D">
        <w:rPr>
          <w:u w:val="single"/>
        </w:rPr>
        <w:instrText xml:space="preserve"> REF _Ref_ContractCompanion_9kb9Ur039 \n \h \t \* MERGEFORMAT </w:instrText>
      </w:r>
      <w:r w:rsidR="0048321D">
        <w:rPr>
          <w:u w:val="single"/>
        </w:rPr>
      </w:r>
      <w:r w:rsidR="0048321D">
        <w:rPr>
          <w:u w:val="single"/>
        </w:rPr>
        <w:fldChar w:fldCharType="separate"/>
      </w:r>
      <w:r w:rsidR="006D67B9">
        <w:rPr>
          <w:u w:val="single"/>
        </w:rPr>
        <w:t>2.10</w:t>
      </w:r>
      <w:r w:rsidR="0048321D">
        <w:rPr>
          <w:u w:val="single"/>
        </w:rPr>
        <w:fldChar w:fldCharType="end"/>
      </w:r>
      <w:r w:rsidRPr="003D105E">
        <w:t>, all indebtedness, liabilities, agreements, understandings, instruments, contracts and proposed transactions involving the same Person (including Persons the Company has reason to believe are affiliated with each other) shall be aggregated for the purpose of meeting the individual minimum dollar amounts of such subsection.</w:t>
      </w:r>
      <w:bookmarkEnd w:id="29"/>
    </w:p>
    <w:p w14:paraId="59B687C9" w14:textId="2105EA83" w:rsidR="005216F1" w:rsidRPr="003D105E" w:rsidRDefault="00387E3C" w:rsidP="00DA2D7C">
      <w:pPr>
        <w:pStyle w:val="StandardL3"/>
      </w:pPr>
      <w:r w:rsidRPr="003D105E">
        <w:t>The Company is not a guarantor or indemnitor of any indebtedness of any other Person.</w:t>
      </w:r>
    </w:p>
    <w:p w14:paraId="32409393" w14:textId="77777777" w:rsidR="00DA2D7C" w:rsidRPr="00DA2D7C" w:rsidRDefault="00387E3C" w:rsidP="00DA2D7C">
      <w:pPr>
        <w:pStyle w:val="StandardL2"/>
        <w:rPr>
          <w:vanish/>
          <w:specVanish/>
        </w:rPr>
      </w:pPr>
      <w:bookmarkStart w:id="30" w:name="_Toc219945768"/>
      <w:r w:rsidRPr="003D105E">
        <w:t>Certain Transactions</w:t>
      </w:r>
      <w:bookmarkEnd w:id="30"/>
    </w:p>
    <w:p w14:paraId="4A841996" w14:textId="4FB860AF" w:rsidR="005216F1" w:rsidRPr="003D105E" w:rsidRDefault="00387E3C" w:rsidP="00DA2D7C">
      <w:pPr>
        <w:pStyle w:val="OHHpara"/>
      </w:pPr>
      <w:r w:rsidRPr="003D105E">
        <w:t>.</w:t>
      </w:r>
    </w:p>
    <w:p w14:paraId="48D67B17" w14:textId="7B026F0A" w:rsidR="005216F1" w:rsidRPr="003D105E" w:rsidRDefault="00387E3C" w:rsidP="00DA2D7C">
      <w:pPr>
        <w:pStyle w:val="StandardL3"/>
      </w:pPr>
      <w:r w:rsidRPr="003D105E">
        <w:t>Other than: (i) standard employee benefits generally made available to all employees, standard employment agreements, contractor agreements and Intellectual Property and Confidential Information Agreements, (ii) standard director and officer indemnification agreements approved by the Board, (iii) agreements relating to the purchase of shares and the issuance of options to purchase shares in the capital of the Company approved in the written minutes or resolutions of the Board (previously made available to the Lead Investor or its counsel), and (iv) the Transaction Agreements, there are no agreements, understandings or proposed transactions between the Company and any of its officers, directors, Founders, or any Affiliate thereof.</w:t>
      </w:r>
    </w:p>
    <w:p w14:paraId="673CF4E6" w14:textId="276ACF77" w:rsidR="005216F1" w:rsidRPr="003D105E" w:rsidRDefault="00387E3C" w:rsidP="00DA2D7C">
      <w:pPr>
        <w:pStyle w:val="StandardL3"/>
        <w:rPr>
          <w:lang w:val="en-US"/>
        </w:rPr>
      </w:pPr>
      <w:r w:rsidRPr="003D105E">
        <w:t>T</w:t>
      </w:r>
      <w:r w:rsidRPr="003D105E">
        <w:rPr>
          <w:lang w:val="en-US"/>
        </w:rPr>
        <w:t>he Company is not indebted, directly or indirectly, to any of its directors, officers or employees or to their respective spouses or children or to any Affiliate of any of the foregoing, other than in connection with expenses or advances of expenses incurred in the ordinary course of business or employee relocation expenses and for other customary employee benefits made generally available to all employees. N</w:t>
      </w:r>
      <w:r w:rsidRPr="003D105E">
        <w:t>one</w:t>
      </w:r>
      <w:r w:rsidRPr="003D105E">
        <w:rPr>
          <w:lang w:val="en-US"/>
        </w:rPr>
        <w:t xml:space="preserve"> of the Company’s directors, officers, employees, contractors, or any members of their immediate families, or any Affiliate of the foregoing are, directly or indirectly, indebted to the Company </w:t>
      </w:r>
      <w:r w:rsidRPr="003D105E">
        <w:t>or, to the Company’s knowledge, have any (i) material commercial, industrial, banking, consulting, legal, accounting, charitable or familial relationship with the Company or any of the Company’s customers, suppliers, service providers, joint venture partners, licensees and competitors, (ii) direct or indirect ownership interest in any firm or corporation with which the Company is affiliated or with which the Company has a business relationship or any firm or corporation which competes with the Company provided that directors, officers, employees or shareholders of the Company may own securities in (but not exceeding 2% of the outstanding capital shares of) publicly traded companies that may compete with the Company, or (iii) financial interest in any material contract with the Company.</w:t>
      </w:r>
    </w:p>
    <w:p w14:paraId="288C09B3" w14:textId="58F4EEFB" w:rsidR="005216F1" w:rsidRPr="003D105E" w:rsidRDefault="00387E3C" w:rsidP="00DA2D7C">
      <w:pPr>
        <w:pStyle w:val="StandardL2"/>
        <w:rPr>
          <w:vanish/>
          <w:specVanish/>
        </w:rPr>
      </w:pPr>
      <w:bookmarkStart w:id="31" w:name="_Toc219945769"/>
      <w:r w:rsidRPr="003D105E">
        <w:t>Rights of Registration and Voting Rights</w:t>
      </w:r>
      <w:bookmarkEnd w:id="31"/>
    </w:p>
    <w:p w14:paraId="1F5CF251" w14:textId="5BEAC5DB" w:rsidR="005216F1" w:rsidRPr="003D105E" w:rsidRDefault="00387E3C" w:rsidP="00DA2D7C">
      <w:pPr>
        <w:pStyle w:val="OHHpara"/>
      </w:pPr>
      <w:r w:rsidRPr="003D105E">
        <w:t>.</w:t>
      </w:r>
      <w:r w:rsidRPr="003D105E">
        <w:rPr>
          <w:bCs/>
        </w:rPr>
        <w:t xml:space="preserve"> </w:t>
      </w:r>
      <w:r w:rsidRPr="003D105E">
        <w:t>Except as contemplated in the Investors’ Rights Agreement, the Company is not under any obligation to register or qualify under the 1933 Act or with the applicable Canadian securities regulatory authority any of its currently outstanding securities or any securities issuable upon exercise or conversion of its currently outstanding securities. To the Company’s knowledge, except as contemplated in (</w:t>
      </w:r>
      <w:r w:rsidR="00DC2217">
        <w:t>a</w:t>
      </w:r>
      <w:r w:rsidRPr="003D105E">
        <w:t>) the Voting Agreement, and (</w:t>
      </w:r>
      <w:r w:rsidR="00DC2217">
        <w:t>b</w:t>
      </w:r>
      <w:r w:rsidRPr="003D105E">
        <w:t>) the Right of First Refusal and Co-Sale Agreement, no shareholder of the Company has entered into any agreements with respect to the voting of shares in the capital of the Company.</w:t>
      </w:r>
    </w:p>
    <w:p w14:paraId="4BC8E28B" w14:textId="47810839" w:rsidR="005216F1" w:rsidRPr="003D105E" w:rsidRDefault="00387E3C" w:rsidP="00DA2D7C">
      <w:pPr>
        <w:pStyle w:val="StandardL2"/>
        <w:rPr>
          <w:vanish/>
          <w:specVanish/>
        </w:rPr>
      </w:pPr>
      <w:bookmarkStart w:id="32" w:name="_Toc219945770"/>
      <w:r w:rsidRPr="003D105E">
        <w:t>Tangible and Real Property</w:t>
      </w:r>
      <w:bookmarkEnd w:id="32"/>
    </w:p>
    <w:p w14:paraId="74A7D585" w14:textId="77777777" w:rsidR="005216F1" w:rsidRPr="003D105E" w:rsidRDefault="00387E3C" w:rsidP="00DA2D7C">
      <w:pPr>
        <w:pStyle w:val="OHHpara"/>
      </w:pPr>
      <w:r w:rsidRPr="003D105E">
        <w:t>. The tangible and real property and assets that the Company owns are free and clear of all mortgages, deeds of trust, liens, loans and encumbrances, except for statutory liens for the payment of current taxes that are not yet delinquent and encumbrances and liens that arise in the ordinary course of business and do not materially impair the Company’s ownership or use of such property or assets. With respect to the tangible and real property and assets it leases, the Company is in compliance with such leases and holds a valid leasehold interest free of any liens, claims or encumbrances other than those of the lessors of such property or assets. The Company does not own any real property.</w:t>
      </w:r>
    </w:p>
    <w:p w14:paraId="65B74627" w14:textId="3C2541E8" w:rsidR="005216F1" w:rsidRPr="003D105E" w:rsidRDefault="00387E3C" w:rsidP="00DA2D7C">
      <w:pPr>
        <w:pStyle w:val="StandardL2"/>
        <w:rPr>
          <w:vanish/>
          <w:specVanish/>
        </w:rPr>
      </w:pPr>
      <w:bookmarkStart w:id="33" w:name="_Toc219945771"/>
      <w:r w:rsidRPr="003D105E">
        <w:t>Financial Statements</w:t>
      </w:r>
      <w:bookmarkEnd w:id="33"/>
    </w:p>
    <w:p w14:paraId="430B234E" w14:textId="77777777" w:rsidR="005216F1" w:rsidRPr="003D105E" w:rsidRDefault="00387E3C" w:rsidP="00DA2D7C">
      <w:pPr>
        <w:pStyle w:val="OHHpara"/>
      </w:pPr>
      <w:r w:rsidRPr="003D105E">
        <w:t>. The Financial Statements have been prepared in accordance with GAAP applied on a consistent basis throughout the periods indicated, except that the unaudited Financial Statements may not contain all footnotes required by GAAP. The Financial Statements fairly present in all material respects the financial condition and operating results of the Company as of the dates and for the periods indicated therein, subject in the case of the unaudited Financial Statements to normal year-end audit adjustments. Except as set forth in the Financial Statements, the Company has no material liabilities or obligations, contingent or otherwise, other than: (a) liabilities incurred in the ordinary course of business subsequent to the Balance Sheet Date; (b) obligations under contracts and commitments incurred in the ordinary course of business; and (c) liabilities and obligations of a type or nature not required under GAAP to be reflected in the Financial Statements, which, in all such cases, individually and in the aggregate would not have a Material Adverse Effect. The Company maintains and will continue to maintain a standard system of accounting established and administered in accordance with GAAP.</w:t>
      </w:r>
    </w:p>
    <w:p w14:paraId="1D5638B6" w14:textId="7C5E3AE4" w:rsidR="005216F1" w:rsidRPr="003D105E" w:rsidRDefault="00387E3C" w:rsidP="00DA2D7C">
      <w:pPr>
        <w:pStyle w:val="StandardL2"/>
        <w:rPr>
          <w:vanish/>
          <w:specVanish/>
        </w:rPr>
      </w:pPr>
      <w:bookmarkStart w:id="34" w:name="_Ref_ContractCompanion_9kb9Ur03B"/>
      <w:bookmarkStart w:id="35" w:name="_Toc219945772"/>
      <w:r w:rsidRPr="003D105E">
        <w:t>Changes</w:t>
      </w:r>
      <w:bookmarkEnd w:id="34"/>
      <w:bookmarkEnd w:id="35"/>
    </w:p>
    <w:p w14:paraId="0FCA5BA3" w14:textId="77777777" w:rsidR="005216F1" w:rsidRPr="003D105E" w:rsidRDefault="00387E3C" w:rsidP="00DA2D7C">
      <w:pPr>
        <w:pStyle w:val="OHHpara"/>
      </w:pPr>
      <w:r w:rsidRPr="003D105E">
        <w:t>. Since the Balance Sheet Date, there has not been:</w:t>
      </w:r>
    </w:p>
    <w:p w14:paraId="612A348F" w14:textId="47A5D362" w:rsidR="005216F1" w:rsidRPr="003D105E" w:rsidRDefault="00387E3C" w:rsidP="00DA2D7C">
      <w:pPr>
        <w:pStyle w:val="StandardL3"/>
      </w:pPr>
      <w:r w:rsidRPr="003D105E">
        <w:t>any change in the assets, liabilities, financial condition or operating results of the Company from that reflected in the Financial Statements, except changes in the ordinary course of business that have not caused, in the aggregate, a Material Adverse Effect;</w:t>
      </w:r>
    </w:p>
    <w:p w14:paraId="2B2F4291" w14:textId="3FAB378F" w:rsidR="005216F1" w:rsidRPr="003D105E" w:rsidRDefault="00387E3C" w:rsidP="00DA2D7C">
      <w:pPr>
        <w:pStyle w:val="StandardL3"/>
      </w:pPr>
      <w:r w:rsidRPr="003D105E">
        <w:t>any damage, destruction or loss, whether or not covered by insurance, that would have a Material Adverse Effect;</w:t>
      </w:r>
    </w:p>
    <w:p w14:paraId="4F198EBD" w14:textId="267F4470" w:rsidR="005216F1" w:rsidRPr="003D105E" w:rsidRDefault="00387E3C" w:rsidP="00DA2D7C">
      <w:pPr>
        <w:pStyle w:val="StandardL3"/>
      </w:pPr>
      <w:r w:rsidRPr="003D105E">
        <w:t>any waiver or compromise by the Company of a valuable right or of a material debt owed to it;</w:t>
      </w:r>
    </w:p>
    <w:p w14:paraId="2285CF3D" w14:textId="7B714E35" w:rsidR="005216F1" w:rsidRPr="003D105E" w:rsidRDefault="00387E3C" w:rsidP="00DA2D7C">
      <w:pPr>
        <w:pStyle w:val="StandardL3"/>
      </w:pPr>
      <w:r w:rsidRPr="003D105E">
        <w:t>any satisfaction or discharge of any lien, claim, or encumbrance or payment of any obligation by the Company, except in the ordinary course of business and the satisfaction or discharge of which would not have a Material Adverse Effect;</w:t>
      </w:r>
    </w:p>
    <w:p w14:paraId="026C2431" w14:textId="44D23912" w:rsidR="005216F1" w:rsidRPr="003D105E" w:rsidRDefault="00387E3C" w:rsidP="00DA2D7C">
      <w:pPr>
        <w:pStyle w:val="StandardL3"/>
      </w:pPr>
      <w:r w:rsidRPr="003D105E">
        <w:t>any material change to a material contract or agreement by which the Company or any of its assets is bound or subject;</w:t>
      </w:r>
    </w:p>
    <w:p w14:paraId="09B514CA" w14:textId="4FE43E15" w:rsidR="005216F1" w:rsidRPr="003D105E" w:rsidRDefault="00387E3C" w:rsidP="00DA2D7C">
      <w:pPr>
        <w:pStyle w:val="StandardL3"/>
      </w:pPr>
      <w:r w:rsidRPr="003D105E">
        <w:t>any material change in any compensation arrangement or agreement with any employee, officer, director or shareholder;</w:t>
      </w:r>
    </w:p>
    <w:p w14:paraId="02EB4A94" w14:textId="022E7D9B" w:rsidR="005216F1" w:rsidRPr="003D105E" w:rsidRDefault="00387E3C" w:rsidP="00DA2D7C">
      <w:pPr>
        <w:pStyle w:val="StandardL3"/>
      </w:pPr>
      <w:r w:rsidRPr="003D105E">
        <w:t>any resignation or termination of employment or engagement of any officer or Founder of the Company;</w:t>
      </w:r>
    </w:p>
    <w:p w14:paraId="1798B4EC" w14:textId="4C954BD8" w:rsidR="005216F1" w:rsidRPr="003D105E" w:rsidRDefault="00387E3C" w:rsidP="00DA2D7C">
      <w:pPr>
        <w:pStyle w:val="StandardL3"/>
      </w:pPr>
      <w:r w:rsidRPr="003D105E">
        <w:t>any mortgage, pledge, transfer of a security interest in, or lien, created by the Company, with respect to any of its material properties or assets, except liens for taxes not yet due or payable and liens that arise in the ordinary course of business and do not materially impair the Company’s ownership or use of such property or assets;</w:t>
      </w:r>
    </w:p>
    <w:p w14:paraId="58618FEA" w14:textId="168B8194" w:rsidR="005216F1" w:rsidRPr="003D105E" w:rsidRDefault="00387E3C" w:rsidP="00DA2D7C">
      <w:pPr>
        <w:pStyle w:val="StandardL3"/>
      </w:pPr>
      <w:r w:rsidRPr="003D105E">
        <w:t>any loans or guarantees made by the Company to or for the benefit of its employees, officers or directors, or any members of their immediate families, other than travel advances and other advances made in the ordinary course of its business;</w:t>
      </w:r>
    </w:p>
    <w:p w14:paraId="31DAE732" w14:textId="00F6C8A9" w:rsidR="005216F1" w:rsidRPr="003D105E" w:rsidRDefault="00387E3C" w:rsidP="00DA2D7C">
      <w:pPr>
        <w:pStyle w:val="StandardL3"/>
      </w:pPr>
      <w:r w:rsidRPr="003D105E">
        <w:t>any declaration, setting aside or payment or other distribution in respect of any shares in the capital of the Company, or any direct or indirect redemption, purchase, or other acquisition of any of such shares by the Company;</w:t>
      </w:r>
    </w:p>
    <w:p w14:paraId="35E43764" w14:textId="167CB039" w:rsidR="005216F1" w:rsidRPr="003D105E" w:rsidRDefault="00387E3C" w:rsidP="00DA2D7C">
      <w:pPr>
        <w:pStyle w:val="StandardL3"/>
      </w:pPr>
      <w:r w:rsidRPr="003D105E">
        <w:t>any sale, assignment or transfer by the Company of any Company Owned Intellectual Property that could reasonably be expected to result in a Material Adverse Effect;</w:t>
      </w:r>
    </w:p>
    <w:p w14:paraId="0F2DC315" w14:textId="4881305B" w:rsidR="005216F1" w:rsidRPr="003D105E" w:rsidRDefault="00387E3C" w:rsidP="00DA2D7C">
      <w:pPr>
        <w:pStyle w:val="StandardL3"/>
      </w:pPr>
      <w:r w:rsidRPr="003D105E">
        <w:t>receipt of notice that there has been a loss of, or material order cancellation by, any major customer of the Company;</w:t>
      </w:r>
    </w:p>
    <w:p w14:paraId="69A1C89B" w14:textId="1F28FA80" w:rsidR="005216F1" w:rsidRPr="003D105E" w:rsidRDefault="00387E3C" w:rsidP="00DA2D7C">
      <w:pPr>
        <w:pStyle w:val="StandardL3"/>
      </w:pPr>
      <w:r w:rsidRPr="003D105E">
        <w:t>any other event or condition of any character, other than events affecting the economy or the Company’s industry generally, that could reasonably be expected to result in a Material Adverse Effect; or</w:t>
      </w:r>
    </w:p>
    <w:p w14:paraId="7E99C330" w14:textId="5D365AC2" w:rsidR="005216F1" w:rsidRPr="003D105E" w:rsidRDefault="00387E3C" w:rsidP="00DA2D7C">
      <w:pPr>
        <w:pStyle w:val="StandardL3"/>
      </w:pPr>
      <w:r w:rsidRPr="003D105E">
        <w:t xml:space="preserve">any arrangement or commitment by the Company to do any of the things described in this </w:t>
      </w:r>
      <w:r w:rsidRPr="003D105E">
        <w:rPr>
          <w:u w:val="single"/>
        </w:rPr>
        <w:t xml:space="preserve">Section </w:t>
      </w:r>
      <w:r w:rsidR="0048321D">
        <w:rPr>
          <w:u w:val="single"/>
        </w:rPr>
        <w:fldChar w:fldCharType="begin"/>
      </w:r>
      <w:r w:rsidR="0048321D">
        <w:rPr>
          <w:u w:val="single"/>
        </w:rPr>
        <w:instrText xml:space="preserve"> REF _Ref_ContractCompanion_9kb9Ur03B \n \h \t \* MERGEFORMAT </w:instrText>
      </w:r>
      <w:r w:rsidR="0048321D">
        <w:rPr>
          <w:u w:val="single"/>
        </w:rPr>
      </w:r>
      <w:r w:rsidR="0048321D">
        <w:rPr>
          <w:u w:val="single"/>
        </w:rPr>
        <w:fldChar w:fldCharType="separate"/>
      </w:r>
      <w:r w:rsidR="006D67B9">
        <w:rPr>
          <w:u w:val="single"/>
        </w:rPr>
        <w:t>2.15</w:t>
      </w:r>
      <w:r w:rsidR="0048321D">
        <w:rPr>
          <w:u w:val="single"/>
        </w:rPr>
        <w:fldChar w:fldCharType="end"/>
      </w:r>
      <w:r w:rsidRPr="003D105E">
        <w:t>.</w:t>
      </w:r>
    </w:p>
    <w:p w14:paraId="1E255FC4" w14:textId="77777777" w:rsidR="00DA2D7C" w:rsidRPr="00DA2D7C" w:rsidRDefault="00387E3C" w:rsidP="00DA2D7C">
      <w:pPr>
        <w:pStyle w:val="StandardL2"/>
        <w:rPr>
          <w:vanish/>
          <w:specVanish/>
        </w:rPr>
      </w:pPr>
      <w:bookmarkStart w:id="36" w:name="_Toc219945773"/>
      <w:r w:rsidRPr="003D105E">
        <w:t>Employee Matters</w:t>
      </w:r>
      <w:bookmarkEnd w:id="36"/>
    </w:p>
    <w:p w14:paraId="6BE20351" w14:textId="56F914C9" w:rsidR="005216F1" w:rsidRPr="003D105E" w:rsidRDefault="00387E3C" w:rsidP="00DA2D7C">
      <w:pPr>
        <w:pStyle w:val="OHHpara"/>
      </w:pPr>
      <w:r w:rsidRPr="003D105E">
        <w:t>.</w:t>
      </w:r>
    </w:p>
    <w:p w14:paraId="58A6366E" w14:textId="7063DE8C" w:rsidR="005216F1" w:rsidRPr="003D105E" w:rsidRDefault="00387E3C" w:rsidP="00DA2D7C">
      <w:pPr>
        <w:pStyle w:val="StandardL3"/>
      </w:pPr>
      <w:r w:rsidRPr="003D105E">
        <w:t>To the Company’s knowledge, none of its employees is obligated under any contract (including licenses, covenants or commitments of any nature) or other agreement, or subject to any judgment, decree or order of any court or administrative agency, that would materially interfere with such employee’s ability to promote the interest of the Company or that would conflict with the Company’s business. Neither the execution or delivery of the Transaction Agreements, nor the carrying on of the Company’s business by the employees of the Company, nor the conduct of the Company’s business as now conducted and as presently proposed to be conducted, will, to the Company’s knowledge, conflict with or result in a breach of the terms, conditions, or provisions of, or constitute a default under, any contract, covenant or instrument under which any such employee is now obligated.</w:t>
      </w:r>
    </w:p>
    <w:p w14:paraId="7B830B79" w14:textId="425D9DD8" w:rsidR="005216F1" w:rsidRPr="003D105E" w:rsidRDefault="00387E3C" w:rsidP="00DA2D7C">
      <w:pPr>
        <w:pStyle w:val="StandardL3"/>
      </w:pPr>
      <w:r w:rsidRPr="003D105E">
        <w:t>The Company is not delinquent in payments to any of its employees or contractors for any wages, salaries, commissions, bonuses or other direct compensation for any service performed for it to the date hereof or amounts required to be reimbursed to such employees or contractors. The Company has complied in all material respects with all applicable equal employment opportunity laws and with other laws related to employment, including those related to wages, hours, worker classification and collective bargaining. The Company has withheld and paid to the appropriate governmental entity or is holding for payment not yet due to such governmental entity all amounts required to be withheld from employees of the Company and is not liable for any arrears of wages, taxes, penalties or other sums for failure to comply with any of the foregoing.</w:t>
      </w:r>
    </w:p>
    <w:p w14:paraId="6D5C2846" w14:textId="1C7D3120" w:rsidR="005216F1" w:rsidRPr="003D105E" w:rsidRDefault="00387E3C" w:rsidP="00DA2D7C">
      <w:pPr>
        <w:pStyle w:val="StandardL3"/>
      </w:pPr>
      <w:r w:rsidRPr="003D105E">
        <w:t>To the Company’s knowledge, no officer intends to terminate their employment or engagement with the Company or is otherwise likely to become unavailable to continue as an employee or contractor, nor does the Company have a present intention to terminate the employment or engagement of any of the foregoing. Except for the provision of the minimum notice, or payment in lieu thereof, required by applicable employment standards legislation, upon termination of the employment of any such employees, no severance or other payments will become due. The Company has no policy, practice, plan, or program of paying severance pay or any form of severance compensation in connection with the termination of employment services.</w:t>
      </w:r>
    </w:p>
    <w:p w14:paraId="0382076F" w14:textId="09D2614F" w:rsidR="005216F1" w:rsidRPr="003D105E" w:rsidRDefault="00387E3C" w:rsidP="00DA2D7C">
      <w:pPr>
        <w:pStyle w:val="StandardL3"/>
      </w:pPr>
      <w:r w:rsidRPr="003D105E">
        <w:t>The Company has not made any representations regarding equity incentives to any officer, employee, director or contractor that are inconsistent with the share amounts and terms set forth in the minutes of meetings or resolutions of the Board.</w:t>
      </w:r>
    </w:p>
    <w:p w14:paraId="2E63E67F" w14:textId="66EBCE84" w:rsidR="005216F1" w:rsidRPr="003D105E" w:rsidRDefault="00387E3C" w:rsidP="00DA2D7C">
      <w:pPr>
        <w:pStyle w:val="StandardL3"/>
      </w:pPr>
      <w:r w:rsidRPr="003D105E">
        <w:t>Each former officer or other employee who reported to the Chief Executive Officer, Chief Financial Officer, or Board has entered into an agreement with the Company providing for the full release of any claims against the Company or any related party arising out of such employment.</w:t>
      </w:r>
    </w:p>
    <w:p w14:paraId="498E6051" w14:textId="7F5E8E58" w:rsidR="005216F1" w:rsidRPr="003D105E" w:rsidRDefault="00387E3C" w:rsidP="00DA2D7C">
      <w:pPr>
        <w:pStyle w:val="StandardL3"/>
      </w:pPr>
      <w:r w:rsidRPr="003D105E">
        <w:rPr>
          <w:u w:val="single"/>
        </w:rPr>
        <w:t>Section 2.16(f)</w:t>
      </w:r>
      <w:r w:rsidRPr="003D105E">
        <w:t xml:space="preserve"> of the Disclosure Schedule sets forth each employee benefit plan maintained, established or sponsored by the Company, or that the Company participates in or contributes to. </w:t>
      </w:r>
      <w:r w:rsidRPr="003D105E">
        <w:rPr>
          <w:lang w:val="en-US"/>
        </w:rPr>
        <w:t>All employee benefit plans of the Company are and have been established, registered (where required), qualified, invested and administered, in all material respects, in accordance with their terms and all applicable laws.</w:t>
      </w:r>
    </w:p>
    <w:p w14:paraId="7611D685" w14:textId="6987B17D" w:rsidR="005216F1" w:rsidRPr="003D105E" w:rsidRDefault="00387E3C" w:rsidP="00DA2D7C">
      <w:pPr>
        <w:pStyle w:val="StandardL3"/>
        <w:rPr>
          <w:lang w:val="en-US"/>
        </w:rPr>
      </w:pPr>
      <w:r w:rsidRPr="003D105E">
        <w:rPr>
          <w:lang w:val="en-US"/>
        </w:rPr>
        <w:t xml:space="preserve">The Company is not bound by or subject to (and none of its assets or properties is bound by or subject to) any written or oral, express or implied, contract, commitment or arrangement with any </w:t>
      </w:r>
      <w:proofErr w:type="spellStart"/>
      <w:r w:rsidRPr="003D105E">
        <w:rPr>
          <w:lang w:val="en-US"/>
        </w:rPr>
        <w:t>labour</w:t>
      </w:r>
      <w:proofErr w:type="spellEnd"/>
      <w:r w:rsidRPr="003D105E">
        <w:rPr>
          <w:lang w:val="en-US"/>
        </w:rPr>
        <w:t xml:space="preserve"> union, and no </w:t>
      </w:r>
      <w:proofErr w:type="spellStart"/>
      <w:r w:rsidRPr="003D105E">
        <w:rPr>
          <w:lang w:val="en-US"/>
        </w:rPr>
        <w:t>labour</w:t>
      </w:r>
      <w:proofErr w:type="spellEnd"/>
      <w:r w:rsidRPr="003D105E">
        <w:rPr>
          <w:lang w:val="en-US"/>
        </w:rPr>
        <w:t xml:space="preserve"> union has requested or, to the knowledge of the Company, has sought to represent any of the employees, representatives or agents of the Company. There is no strike or other </w:t>
      </w:r>
      <w:proofErr w:type="spellStart"/>
      <w:r w:rsidRPr="003D105E">
        <w:rPr>
          <w:lang w:val="en-US"/>
        </w:rPr>
        <w:t>labour</w:t>
      </w:r>
      <w:proofErr w:type="spellEnd"/>
      <w:r w:rsidRPr="003D105E">
        <w:rPr>
          <w:lang w:val="en-US"/>
        </w:rPr>
        <w:t xml:space="preserve"> dispute involving the Company pending, or to the Company’s knowledge, threatened, which could have a Material Adverse Effect, nor is the Company aware of any </w:t>
      </w:r>
      <w:proofErr w:type="spellStart"/>
      <w:r w:rsidRPr="003D105E">
        <w:rPr>
          <w:lang w:val="en-US"/>
        </w:rPr>
        <w:t>labour</w:t>
      </w:r>
      <w:proofErr w:type="spellEnd"/>
      <w:r w:rsidRPr="003D105E">
        <w:rPr>
          <w:lang w:val="en-US"/>
        </w:rPr>
        <w:t xml:space="preserve"> organization activity involving its employees.</w:t>
      </w:r>
    </w:p>
    <w:p w14:paraId="255F9704" w14:textId="15B0FB6E" w:rsidR="005216F1" w:rsidRPr="003D105E" w:rsidRDefault="00387E3C" w:rsidP="00DA2D7C">
      <w:pPr>
        <w:pStyle w:val="StandardL3"/>
      </w:pPr>
      <w:r w:rsidRPr="003D105E">
        <w:t>To the Company’s knowledge, none of the officers, directors or Founders of the Company have been (i) subject to voluntary or involuntary petition under the federal bankruptcy laws or any provincial insolvency law or the appointment of a receiver, fiscal agent or similar officer by a court for their business or property; (ii) convicted in a criminal proceeding or named as a subject of a pending criminal proceeding (excluding traffic violations and other minor offenses); (iii) subject to any order, judgment or decree (not subsequently reversed, suspended, or vacated) of any court of competent jurisdiction permanently or temporarily enjoining them from engaging, or otherwise imposing limits or conditions on their engagement in any securities, investment advisory, banking, insurance, or other type of business or acting as an officer or director of a public company; or (iv) found by a court of competent jurisdiction in a civil action or by a Canadian securities regulator to have violated any securities laws, commodities, or unfair trade practices law, which such judgment or finding has not been subsequently reversed, suspended, or vacated.</w:t>
      </w:r>
    </w:p>
    <w:p w14:paraId="0EE49000" w14:textId="77777777" w:rsidR="00994BDE" w:rsidRPr="00994BDE" w:rsidRDefault="00387E3C" w:rsidP="00DA2D7C">
      <w:pPr>
        <w:pStyle w:val="StandardL2"/>
        <w:rPr>
          <w:vanish/>
          <w:specVanish/>
        </w:rPr>
      </w:pPr>
      <w:bookmarkStart w:id="37" w:name="_Toc219945774"/>
      <w:r w:rsidRPr="003D105E">
        <w:t>Tax Matters</w:t>
      </w:r>
      <w:bookmarkEnd w:id="37"/>
    </w:p>
    <w:p w14:paraId="5F31411A" w14:textId="4B9635BE" w:rsidR="005216F1" w:rsidRPr="003D105E" w:rsidRDefault="00387E3C" w:rsidP="00994BDE">
      <w:pPr>
        <w:pStyle w:val="OHHpara"/>
      </w:pPr>
      <w:r w:rsidRPr="003D105E">
        <w:t>.</w:t>
      </w:r>
    </w:p>
    <w:p w14:paraId="7F9B7BAD" w14:textId="41AA5778" w:rsidR="005216F1" w:rsidRPr="003D105E" w:rsidRDefault="00387E3C" w:rsidP="00DA2D7C">
      <w:pPr>
        <w:pStyle w:val="StandardL3"/>
      </w:pPr>
      <w:r w:rsidRPr="003D105E">
        <w:t>There are no [income or other material] taxes due and payable by the Company that have not been timely paid and no material withholding taxes required to be withheld by the Company that have not been withheld and timely paid over to the appropriate governmental agency.</w:t>
      </w:r>
    </w:p>
    <w:p w14:paraId="0AE49802" w14:textId="3EEA6C63" w:rsidR="005216F1" w:rsidRPr="003D105E" w:rsidRDefault="00387E3C" w:rsidP="00DA2D7C">
      <w:pPr>
        <w:pStyle w:val="StandardL3"/>
      </w:pPr>
      <w:r w:rsidRPr="003D105E">
        <w:t>There have been no examinations or audits with respect to any taxes or tax returns of the Company, by any applicable federal, provincial or foreign governmental agency, and the Company has not received written notice of an intent to commence any such examination or audit that remains outstanding.</w:t>
      </w:r>
    </w:p>
    <w:p w14:paraId="7EA83773" w14:textId="424CEAFB" w:rsidR="005216F1" w:rsidRPr="003D105E" w:rsidRDefault="00387E3C" w:rsidP="00DA2D7C">
      <w:pPr>
        <w:pStyle w:val="StandardL3"/>
      </w:pPr>
      <w:r w:rsidRPr="003D105E">
        <w:t>The Company has duly and timely filed all income or other material tax returns required to have been filed it, and there are no waivers of applicable statues of limitations with respect to taxes for any year.</w:t>
      </w:r>
    </w:p>
    <w:p w14:paraId="166435DC" w14:textId="1BDF70EF" w:rsidR="005216F1" w:rsidRPr="003D105E" w:rsidRDefault="00387E3C" w:rsidP="00DA2D7C">
      <w:pPr>
        <w:pStyle w:val="StandardL3"/>
      </w:pPr>
      <w:r w:rsidRPr="003D105E">
        <w:rPr>
          <w:lang w:val="en-US"/>
        </w:rPr>
        <w:t>T</w:t>
      </w:r>
      <w:r w:rsidRPr="003D105E">
        <w:t xml:space="preserve">he Company is, immediately before the completion of the transaction contemplated by this Agreement, a “Canadian controlled private corporation” as defined in the </w:t>
      </w:r>
      <w:r w:rsidRPr="003D105E">
        <w:rPr>
          <w:i/>
          <w:iCs/>
        </w:rPr>
        <w:t xml:space="preserve">Income Tax Act </w:t>
      </w:r>
      <w:r w:rsidRPr="003D105E">
        <w:t>(Canada) (“</w:t>
      </w:r>
      <w:r w:rsidRPr="003D105E">
        <w:rPr>
          <w:b/>
          <w:bCs/>
        </w:rPr>
        <w:t>ITA</w:t>
      </w:r>
      <w:r w:rsidRPr="003D105E">
        <w:t>”).</w:t>
      </w:r>
    </w:p>
    <w:p w14:paraId="1D72EECC" w14:textId="65FC3AD1" w:rsidR="005216F1" w:rsidRPr="003D105E" w:rsidRDefault="00387E3C" w:rsidP="00DA2D7C">
      <w:pPr>
        <w:pStyle w:val="StandardL3"/>
      </w:pPr>
      <w:r w:rsidRPr="003D105E">
        <w:t>[The Company is not, and, to the best of the Company’s knowledge, immediately after the Closing, the Company will not be, a “Controlled Foreign Corporation” as defined in the U.S. Internal Revenue Code of 1986, as amended (or any successor thereto). The Company is not a “passive foreign investment company” (a “</w:t>
      </w:r>
      <w:r w:rsidRPr="00DC2217">
        <w:rPr>
          <w:b/>
          <w:bCs/>
        </w:rPr>
        <w:t>PFIC</w:t>
      </w:r>
      <w:r w:rsidRPr="003D105E">
        <w:t>”), as defined in the U.S. Internal Revenue Code of 1986, as amended (or any successor thereto), and, to the best of the Company’s knowledge, the Company does not expect to be a PFIC for the current taxable year.]</w:t>
      </w:r>
    </w:p>
    <w:p w14:paraId="5D3FD296" w14:textId="06DF8A79" w:rsidR="005216F1" w:rsidRPr="003D105E" w:rsidRDefault="00387E3C" w:rsidP="00DA2D7C">
      <w:pPr>
        <w:pStyle w:val="StandardL2"/>
        <w:rPr>
          <w:vanish/>
          <w:specVanish/>
        </w:rPr>
      </w:pPr>
      <w:bookmarkStart w:id="38" w:name="_Toc219945775"/>
      <w:r w:rsidRPr="003D105E">
        <w:t>Insurance</w:t>
      </w:r>
      <w:bookmarkEnd w:id="38"/>
    </w:p>
    <w:p w14:paraId="747EB375" w14:textId="60119A43" w:rsidR="005216F1" w:rsidRPr="003D105E" w:rsidRDefault="00387E3C" w:rsidP="00DA2D7C">
      <w:pPr>
        <w:pStyle w:val="OHHpara"/>
      </w:pPr>
      <w:r w:rsidRPr="003D105E">
        <w:t xml:space="preserve">. The Company has the insurance policies set forth in </w:t>
      </w:r>
      <w:r w:rsidRPr="003D105E">
        <w:rPr>
          <w:u w:val="single"/>
        </w:rPr>
        <w:t xml:space="preserve">Section 2.18 </w:t>
      </w:r>
      <w:r w:rsidRPr="003D105E">
        <w:t>of the Disclosure Schedule and all such policies are in full force and effect.</w:t>
      </w:r>
    </w:p>
    <w:p w14:paraId="3BB79015" w14:textId="48CFEFF1" w:rsidR="005216F1" w:rsidRPr="003D105E" w:rsidRDefault="00387E3C" w:rsidP="00DA2D7C">
      <w:pPr>
        <w:pStyle w:val="StandardL2"/>
        <w:rPr>
          <w:vanish/>
          <w:specVanish/>
        </w:rPr>
      </w:pPr>
      <w:bookmarkStart w:id="39" w:name="_Toc219945776"/>
      <w:r w:rsidRPr="003D105E">
        <w:t>Permits</w:t>
      </w:r>
      <w:bookmarkEnd w:id="39"/>
    </w:p>
    <w:p w14:paraId="0C1F43C8" w14:textId="77777777" w:rsidR="005216F1" w:rsidRPr="003D105E" w:rsidRDefault="00387E3C" w:rsidP="00DA2D7C">
      <w:pPr>
        <w:pStyle w:val="OHHpara"/>
      </w:pPr>
      <w:r w:rsidRPr="003D105E">
        <w:t>. The Company has all franchises, permits, licenses and any similar authority necessary for the conduct of its business, the lack of which could reasonably be expected to have a Material Adverse Effect. The Company is not in default in any material respect under any of such franchises, permits, licenses or other similar authority.</w:t>
      </w:r>
    </w:p>
    <w:p w14:paraId="26781471" w14:textId="6C34BBED" w:rsidR="005216F1" w:rsidRPr="003D105E" w:rsidRDefault="00387E3C" w:rsidP="00DA2D7C">
      <w:pPr>
        <w:pStyle w:val="StandardL2"/>
        <w:rPr>
          <w:vanish/>
          <w:specVanish/>
        </w:rPr>
      </w:pPr>
      <w:bookmarkStart w:id="40" w:name="_Toc219945777"/>
      <w:r w:rsidRPr="003D105E">
        <w:t>Corporate Documents</w:t>
      </w:r>
      <w:bookmarkEnd w:id="40"/>
    </w:p>
    <w:p w14:paraId="67B50326" w14:textId="77777777" w:rsidR="005216F1" w:rsidRPr="003D105E" w:rsidRDefault="00387E3C" w:rsidP="00DA2D7C">
      <w:pPr>
        <w:pStyle w:val="OHHpara"/>
      </w:pPr>
      <w:r w:rsidRPr="003D105E">
        <w:t>. The Articles and Bylaws of the Company are in the form made available to the Purchasers. The copy of the minute books of the Company made available to the Purchasers contains minutes of all meetings of directors and shareholders and all written resolutions of the directors and shareholders since the date of incorporation and accurately reflects in all material respects all actions by the directors (and any committee of directors) and shareholders.</w:t>
      </w:r>
    </w:p>
    <w:p w14:paraId="2646A950" w14:textId="3E1A68F6" w:rsidR="005216F1" w:rsidRPr="003D105E" w:rsidRDefault="00387E3C" w:rsidP="00DA2D7C">
      <w:pPr>
        <w:pStyle w:val="StandardL2"/>
        <w:rPr>
          <w:bCs/>
          <w:vanish/>
          <w:specVanish/>
        </w:rPr>
      </w:pPr>
      <w:bookmarkStart w:id="41" w:name="_Toc219945778"/>
      <w:r w:rsidRPr="003D105E">
        <w:rPr>
          <w:lang w:val="en-US"/>
        </w:rPr>
        <w:t>Foreign Corrupt Practices Ac</w:t>
      </w:r>
      <w:r w:rsidRPr="003D105E">
        <w:t>t</w:t>
      </w:r>
      <w:bookmarkEnd w:id="41"/>
    </w:p>
    <w:p w14:paraId="7FDA3A1A" w14:textId="77777777" w:rsidR="005216F1" w:rsidRPr="003D105E" w:rsidRDefault="00387E3C" w:rsidP="00DA2D7C">
      <w:pPr>
        <w:pStyle w:val="OHHpara"/>
        <w:rPr>
          <w:lang w:val="en-US"/>
        </w:rPr>
      </w:pPr>
      <w:r w:rsidRPr="003D105E">
        <w:t>.</w:t>
      </w:r>
      <w:r w:rsidRPr="003D105E">
        <w:rPr>
          <w:lang w:val="en-US"/>
        </w:rPr>
        <w:t xml:space="preserve"> To the Company’s knowledge, the Company is and has been in material compliance with the U.S. Foreign Corrupt Practices Act (the “</w:t>
      </w:r>
      <w:r w:rsidRPr="003D105E">
        <w:rPr>
          <w:b/>
          <w:bCs/>
          <w:lang w:val="en-US"/>
        </w:rPr>
        <w:t>FCPA</w:t>
      </w:r>
      <w:r w:rsidRPr="003D105E">
        <w:rPr>
          <w:lang w:val="en-US"/>
        </w:rPr>
        <w:t xml:space="preserve">”), the </w:t>
      </w:r>
      <w:r w:rsidRPr="003D105E">
        <w:rPr>
          <w:i/>
          <w:iCs/>
          <w:lang w:val="en-US"/>
        </w:rPr>
        <w:t>Corruption of Foreign Public Officials Act</w:t>
      </w:r>
      <w:r w:rsidRPr="003D105E">
        <w:rPr>
          <w:lang w:val="en-US"/>
        </w:rPr>
        <w:t xml:space="preserve"> (Canada), the anti-corruption provisions of the </w:t>
      </w:r>
      <w:r w:rsidRPr="003D105E">
        <w:rPr>
          <w:i/>
          <w:iCs/>
          <w:lang w:val="en-US"/>
        </w:rPr>
        <w:t>Criminal Code</w:t>
      </w:r>
      <w:r w:rsidRPr="003D105E">
        <w:rPr>
          <w:lang w:val="en-US"/>
        </w:rPr>
        <w:t xml:space="preserve"> (Canada) and any other applicable anti-bribery or anti-corruption laws (collectively, “</w:t>
      </w:r>
      <w:r w:rsidRPr="003D105E">
        <w:rPr>
          <w:b/>
          <w:bCs/>
          <w:lang w:val="en-US"/>
        </w:rPr>
        <w:t>Anti-Corruption Laws</w:t>
      </w:r>
      <w:r w:rsidRPr="003D105E">
        <w:rPr>
          <w:lang w:val="en-US"/>
        </w:rPr>
        <w:t>”). To the Company’s knowledge, none of the Company, its subsidiaries, nor any of their directors, officers, employees, agents, or other third parties acting on behalf of the Company (in each case, while acting in such capacities), have directly or indirectly made, offered, promised, or authorized any payment or gift of any money or anything of value to or for the benefit of any “foreign official” (as defined in the FCPA), foreign political party or official thereof or candidate for foreign political office  (each, a “</w:t>
      </w:r>
      <w:r w:rsidRPr="003D105E">
        <w:rPr>
          <w:b/>
          <w:bCs/>
          <w:lang w:val="en-US"/>
        </w:rPr>
        <w:t>Government Official</w:t>
      </w:r>
      <w:r w:rsidRPr="003D105E">
        <w:rPr>
          <w:lang w:val="en-US"/>
        </w:rPr>
        <w:t>”) for the purpose of (a) influencing any official act or decision of such Government Official, (b) inducing such Government Official to do or omit to do any act in violation of their lawful duty, (c) inducing such Government Official to use their influence to affect any act or decision of a governmental authority, or (d) securing any improper advantage, in the case of (a)-(d) above in order to assist the Company or its subsidiaries in obtaining or retaining business for or with, or directing business to, any person. Neither the Company nor its subsidiaries, nor any of their directors, officers, or, to the Company’s knowledge, employees, agents, or other third parties acting on behalf of the Company (in each case, while acting in such capacities), have made or authorized any bribe, rebate, payoff, influence payment, kickback, or other unlawful payment of funds or received or retained any funds in violation of any applicable Anti-Corruption Law. [The Company represents that it has maintained, and has caused its subsidiaries to maintain, systems of internal controls (accounting systems, purchasing systems and billing systems) reasonably designed to ensure compliance with applicable Anti-Corruption Laws, and reasonably designed to ensure that all books and records of the Company accurately and fairly reflect, in reasonable detail, all transactions and dispositions of funds and assets.] Neither the Company nor, to the Company’s knowledge, any of its officers, directors, or employees, are the subject of any allegation, voluntary disclosure, investigation, prosecution or other enforcement action related to appliable Anti-Corruption Laws (“</w:t>
      </w:r>
      <w:r w:rsidRPr="003D105E">
        <w:rPr>
          <w:b/>
          <w:bCs/>
          <w:lang w:val="en-US"/>
        </w:rPr>
        <w:t>Enforcement Action</w:t>
      </w:r>
      <w:r w:rsidRPr="003D105E">
        <w:rPr>
          <w:lang w:val="en-US"/>
        </w:rPr>
        <w:t>”).</w:t>
      </w:r>
    </w:p>
    <w:p w14:paraId="71F3E1B1" w14:textId="16397492" w:rsidR="005216F1" w:rsidRPr="003D105E" w:rsidRDefault="00387E3C" w:rsidP="00DA2D7C">
      <w:pPr>
        <w:pStyle w:val="StandardL2"/>
        <w:rPr>
          <w:bCs/>
          <w:vanish/>
          <w:specVanish/>
        </w:rPr>
      </w:pPr>
      <w:bookmarkStart w:id="42" w:name="_Toc219945779"/>
      <w:r w:rsidRPr="003D105E">
        <w:rPr>
          <w:lang w:val="en-US"/>
        </w:rPr>
        <w:t>Data Privacy</w:t>
      </w:r>
      <w:bookmarkEnd w:id="42"/>
    </w:p>
    <w:p w14:paraId="34263305" w14:textId="77777777" w:rsidR="005216F1" w:rsidRPr="003D105E" w:rsidRDefault="00387E3C" w:rsidP="00DA2D7C">
      <w:pPr>
        <w:pStyle w:val="OHHpara"/>
        <w:rPr>
          <w:lang w:val="en-US"/>
        </w:rPr>
      </w:pPr>
      <w:r w:rsidRPr="003D105E">
        <w:t>.</w:t>
      </w:r>
    </w:p>
    <w:p w14:paraId="38801A10" w14:textId="187DF81A" w:rsidR="005216F1" w:rsidRPr="003D105E" w:rsidRDefault="00387E3C" w:rsidP="00DA2D7C">
      <w:pPr>
        <w:pStyle w:val="StandardL3"/>
        <w:rPr>
          <w:lang w:val="en-US"/>
        </w:rPr>
      </w:pPr>
      <w:r w:rsidRPr="003D105E">
        <w:rPr>
          <w:lang w:val="en-US"/>
        </w:rPr>
        <w:t xml:space="preserve">In </w:t>
      </w:r>
      <w:r w:rsidRPr="003D105E">
        <w:t>connection with the collection, storage, use, access, disclosure and/or other processing (collectively, “</w:t>
      </w:r>
      <w:r w:rsidRPr="003D105E">
        <w:rPr>
          <w:b/>
          <w:bCs/>
        </w:rPr>
        <w:t>Processing</w:t>
      </w:r>
      <w:r w:rsidRPr="003D105E">
        <w:t>”) of any information that constitutes “personal information,” “personal data,” “personally identifiable information” or analogous term as defined in applicable laws (collectively, “</w:t>
      </w:r>
      <w:r w:rsidRPr="003D105E">
        <w:rPr>
          <w:b/>
        </w:rPr>
        <w:t>Personal Information</w:t>
      </w:r>
      <w:r w:rsidRPr="003D105E">
        <w:t>”), by or on behalf of the Company, the Company is and has been in compliance in all material respects with the following (collectively, “</w:t>
      </w:r>
      <w:r w:rsidRPr="003D105E">
        <w:rPr>
          <w:b/>
          <w:bCs/>
        </w:rPr>
        <w:t>Privacy Requirements</w:t>
      </w:r>
      <w:r w:rsidRPr="003D105E">
        <w:t>”): (i) all applicable laws governing privacy or data security in all relevant jurisdictions relating to the Processing of Personal Information, data loss, data theft, and security breach notification obligations, telephone or text message communications, artificial intelligence and automated decision-making, or marketing by email or other channels (collectively, “</w:t>
      </w:r>
      <w:r w:rsidRPr="003D105E">
        <w:rPr>
          <w:b/>
          <w:bCs/>
        </w:rPr>
        <w:t>Privacy Laws</w:t>
      </w:r>
      <w:r w:rsidRPr="003D105E">
        <w:t>”), (ii) the Company’s published privacy policies, and (iii) the privacy or data security requirements of any contracts, codes of conduct, or industry standards by which the Company is legally bound</w:t>
      </w:r>
      <w:r w:rsidRPr="003D105E">
        <w:rPr>
          <w:lang w:val="en-US"/>
        </w:rPr>
        <w:t>.</w:t>
      </w:r>
    </w:p>
    <w:p w14:paraId="2574AA16" w14:textId="1BD772D2" w:rsidR="005216F1" w:rsidRPr="003D105E" w:rsidRDefault="00387E3C" w:rsidP="00DA2D7C">
      <w:pPr>
        <w:pStyle w:val="StandardL3"/>
        <w:rPr>
          <w:lang w:val="en-US"/>
        </w:rPr>
      </w:pPr>
      <w:r w:rsidRPr="003D105E">
        <w:rPr>
          <w:lang w:val="en-US"/>
        </w:rPr>
        <w:t xml:space="preserve">The </w:t>
      </w:r>
      <w:r w:rsidRPr="003D105E">
        <w:t>Company maintains and has maintained reasonable physical, technical, and administrative security measures and policies designed to protect all Personal Information owned, stored, used, maintained or controlled by or on behalf of the Company from and against unlawful, accidental or unauthorized access, destruction, loss, use, modification, disclosure, and/or other Processing</w:t>
      </w:r>
      <w:r w:rsidRPr="003D105E">
        <w:rPr>
          <w:lang w:val="en-US"/>
        </w:rPr>
        <w:t>.</w:t>
      </w:r>
    </w:p>
    <w:p w14:paraId="07ADD268" w14:textId="5EBCEED7" w:rsidR="005216F1" w:rsidRPr="003D105E" w:rsidRDefault="00387E3C" w:rsidP="00DA2D7C">
      <w:pPr>
        <w:pStyle w:val="StandardL3"/>
        <w:rPr>
          <w:lang w:val="en-US"/>
        </w:rPr>
      </w:pPr>
      <w:r w:rsidRPr="003D105E">
        <w:rPr>
          <w:lang w:val="en-US"/>
        </w:rPr>
        <w:t>[</w:t>
      </w:r>
      <w:r w:rsidRPr="003D105E">
        <w:t>The Company: (i) has designated an individual responsible for the development and implementation of the entity’s privacy and security compliance infrastructure; (ii) has entered into, and complies with the terms of, agreements related to the processing of Personal Information by or on behalf of the Company when required by Privacy Requirements; (iii) has provided regular privacy and security training to its workforce to the extent required for compliance with Privacy Requirements; (iv) has adopted, and has been in compliance with, privacy and security compliance policies and procedures; and (v) has completed regular privacy impact assessments and security risk analyses if and as required by Privacy Requirements, and has adequately addressed and remediated all material threats, vulnerabilities and deficiencies that have been identified.]</w:t>
      </w:r>
    </w:p>
    <w:p w14:paraId="326D8D0A" w14:textId="050F2DAB" w:rsidR="005216F1" w:rsidRPr="003D105E" w:rsidRDefault="00387E3C" w:rsidP="00DA2D7C">
      <w:pPr>
        <w:pStyle w:val="StandardL3"/>
        <w:rPr>
          <w:lang w:val="en-US"/>
        </w:rPr>
      </w:pPr>
      <w:r w:rsidRPr="003D105E">
        <w:t>There has been no material unlawful, accidental or unauthorized access to, or destruction, loss, use, modification, disclosure, or other Processing of, Personal Information Processed by the Company, or to the Company’s knowledge, by a third party on behalf of the Company.</w:t>
      </w:r>
    </w:p>
    <w:p w14:paraId="2FC88762" w14:textId="3539B84A" w:rsidR="005216F1" w:rsidRPr="003D105E" w:rsidRDefault="00387E3C" w:rsidP="00DA2D7C">
      <w:pPr>
        <w:pStyle w:val="StandardL2"/>
        <w:rPr>
          <w:bCs/>
          <w:vanish/>
          <w:specVanish/>
        </w:rPr>
      </w:pPr>
      <w:bookmarkStart w:id="43" w:name="_Toc219945780"/>
      <w:r w:rsidRPr="003D105E">
        <w:t>Disclosure</w:t>
      </w:r>
      <w:bookmarkEnd w:id="43"/>
    </w:p>
    <w:p w14:paraId="3AFE90C5" w14:textId="77777777" w:rsidR="005216F1" w:rsidRPr="003D105E" w:rsidRDefault="00387E3C" w:rsidP="00DA2D7C">
      <w:pPr>
        <w:pStyle w:val="OHHpara"/>
        <w:rPr>
          <w:bCs/>
        </w:rPr>
      </w:pPr>
      <w:r w:rsidRPr="003D105E">
        <w:t>. The Company has made available to the Purchasers all the information that the Purchasers have requested for deciding whether to acquire the Shares, including certain of the Company’s projections describing its proposed business plan (the “</w:t>
      </w:r>
      <w:r w:rsidRPr="003D105E">
        <w:rPr>
          <w:b/>
        </w:rPr>
        <w:t>Business Plan</w:t>
      </w:r>
      <w:r w:rsidRPr="003D105E">
        <w:t>”). No representation or warranty of the Company contained in this Agreement, as qualified by the Disclosure Schedule, and no certificate furnished or to be furnished to the Purchasers at the Closing contains any untrue statement of a material fact or, to the Company’s knowledge, omits to state a material fact necessary in order to make the statements contained herein or therein not misleading in light of the circumstances under which they were made. The Business Plan was prepared in good faith; however, the Company does not warrant that it will achieve any results projected in the Business Plan. It is understood that this representation is qualified by the fact that the Company has not delivered to the Purchasers, and has not been requested to deliver, a private placement or similar memorandum or any written disclosure of the types of information customarily furnished to purchasers of securitie</w:t>
      </w:r>
      <w:r w:rsidRPr="003D105E">
        <w:rPr>
          <w:bCs/>
        </w:rPr>
        <w:t>s.</w:t>
      </w:r>
    </w:p>
    <w:p w14:paraId="5304AB0F" w14:textId="0AEF0635" w:rsidR="005216F1" w:rsidRPr="003D105E" w:rsidRDefault="00387E3C" w:rsidP="00DA2D7C">
      <w:pPr>
        <w:pStyle w:val="StandardL1"/>
        <w:rPr>
          <w:vanish/>
          <w:specVanish/>
        </w:rPr>
      </w:pPr>
      <w:bookmarkStart w:id="44" w:name="_Ref_ContractCompanion_9kb9Ur02C"/>
      <w:bookmarkStart w:id="45" w:name="_Toc219945781"/>
      <w:r w:rsidRPr="003D105E">
        <w:t>Representations and Warranties of the Purchasers</w:t>
      </w:r>
      <w:bookmarkEnd w:id="44"/>
      <w:bookmarkEnd w:id="45"/>
    </w:p>
    <w:p w14:paraId="752341F3" w14:textId="77777777" w:rsidR="005216F1" w:rsidRPr="003D105E" w:rsidRDefault="00387E3C" w:rsidP="00DA2D7C">
      <w:pPr>
        <w:pStyle w:val="OHHpara"/>
      </w:pPr>
      <w:r w:rsidRPr="003D105E">
        <w:t>.</w:t>
      </w:r>
      <w:r w:rsidRPr="003D105E">
        <w:rPr>
          <w:bCs/>
        </w:rPr>
        <w:t xml:space="preserve"> </w:t>
      </w:r>
      <w:r w:rsidRPr="003D105E">
        <w:t>Each Purchaser represents and warrants to the Company, severally and not jointly (jointly in Québec), that:</w:t>
      </w:r>
    </w:p>
    <w:p w14:paraId="64A60FDF" w14:textId="025FD204" w:rsidR="005216F1" w:rsidRPr="003D105E" w:rsidRDefault="00387E3C" w:rsidP="00DA2D7C">
      <w:pPr>
        <w:pStyle w:val="StandardL2"/>
        <w:rPr>
          <w:vanish/>
          <w:specVanish/>
        </w:rPr>
      </w:pPr>
      <w:bookmarkStart w:id="46" w:name="_Toc219945782"/>
      <w:r w:rsidRPr="003D105E">
        <w:t>Authorization</w:t>
      </w:r>
      <w:bookmarkEnd w:id="46"/>
    </w:p>
    <w:p w14:paraId="51BBBCF2" w14:textId="77777777" w:rsidR="005216F1" w:rsidRPr="003D105E" w:rsidRDefault="00387E3C" w:rsidP="00DA2D7C">
      <w:pPr>
        <w:pStyle w:val="OHHpara"/>
      </w:pPr>
      <w:r w:rsidRPr="003D105E">
        <w:t>. The Purchaser has full power and authority to enter into the Transaction Agreements. The Transaction Agreements to which the Purchaser is a party, when executed and delivered by the Purchaser, will constitute valid and legally binding obligations of the Purchaser, enforceable against such Purchaser in accordance with their terms, except (a) as limited by applicable bankruptcy, insolvency, reorganization, moratorium, fraudulent conveyance, and any other laws of general application affecting enforcement of creditors’ rights generally, and as limited by laws relating to the availability of specific performance, injunctive relief or other equitable remedies, or (b) to the extent the indemnification provisions contained in the Voting Agreement may be limited by Applicable Securities Laws.</w:t>
      </w:r>
    </w:p>
    <w:p w14:paraId="2A4C6F13" w14:textId="3108A2D8" w:rsidR="005216F1" w:rsidRPr="003D105E" w:rsidRDefault="00387E3C" w:rsidP="00DA2D7C">
      <w:pPr>
        <w:pStyle w:val="StandardL2"/>
        <w:rPr>
          <w:vanish/>
          <w:specVanish/>
        </w:rPr>
      </w:pPr>
      <w:bookmarkStart w:id="47" w:name="_Toc219945783"/>
      <w:r w:rsidRPr="003D105E">
        <w:t>Purchase Entirely for Own Account</w:t>
      </w:r>
      <w:bookmarkEnd w:id="47"/>
    </w:p>
    <w:p w14:paraId="514DF99A" w14:textId="77777777" w:rsidR="005216F1" w:rsidRPr="003D105E" w:rsidRDefault="00387E3C" w:rsidP="00DA2D7C">
      <w:pPr>
        <w:pStyle w:val="OHHpara"/>
      </w:pPr>
      <w:r w:rsidRPr="003D105E">
        <w:t>. The Purchaser is purchasing the Shares as principal and the Shares to be acquired by the Purchaser and the Voting Common Shares issuable on conversion thereof will be acquired for investment for the Purchaser’s own account, not as a nominee or agent, and not with a view to the resale or distribution of any part thereof, and that the Purchaser has no present intention of selling, granting any participation in or otherwise distributing the same. By executing this Agreement, the Purchaser further represents that the Purchaser does not presently have any contract, undertaking, agreement or arrangement with any Person to sell, transfer or grant participations to such Person or to any third Person, with respect to any of the Shares or the Voting Common Shares issuable on conversion thereof. The Purchaser has not been formed for the specific purpose of acquiring the Shares, and has not been created, and is not being used, solely to purchase or hold the Shares.</w:t>
      </w:r>
    </w:p>
    <w:p w14:paraId="376D70A6" w14:textId="335C0593" w:rsidR="005216F1" w:rsidRPr="003D105E" w:rsidRDefault="00387E3C" w:rsidP="00DA2D7C">
      <w:pPr>
        <w:pStyle w:val="StandardL2"/>
        <w:rPr>
          <w:vanish/>
          <w:specVanish/>
        </w:rPr>
      </w:pPr>
      <w:bookmarkStart w:id="48" w:name="_Toc219945784"/>
      <w:r w:rsidRPr="003D105E">
        <w:t>Experience; Disclosure of Information</w:t>
      </w:r>
      <w:bookmarkEnd w:id="48"/>
    </w:p>
    <w:p w14:paraId="7C8752C3" w14:textId="2999CE2B" w:rsidR="005216F1" w:rsidRPr="003D105E" w:rsidRDefault="00387E3C" w:rsidP="00DA2D7C">
      <w:pPr>
        <w:pStyle w:val="OHHpara"/>
      </w:pPr>
      <w:r w:rsidRPr="003D105E">
        <w:t xml:space="preserve">. The Purchaser recognizes that an investment in the Shares (and the Voting Common Shares issuable on conversion thereof) is highly speculative. The Purchaser has the requisite knowledge and experience in financial and business matters to be capable of evaluating, and has independently evaluated, the merits and risks of its investment in the Company and has the capacity to protect its own interests. The Purchaser understands that it may be required to bear the economic risk of this investment indefinitely and has independently concluded that it is financially able to bear those risks indefinitely. The Purchaser has had an opportunity to discuss the Company’s business, management, financial affairs and the terms and conditions of the offering of the Shares with the Company’s management and has had an opportunity to review the Company’s facilities. The foregoing, however, does not limit or modify the representations and warranties of the Company in </w:t>
      </w:r>
      <w:r w:rsidRPr="003D105E">
        <w:rPr>
          <w:u w:val="single"/>
        </w:rPr>
        <w:t xml:space="preserve">Section </w:t>
      </w:r>
      <w:r w:rsidR="0048321D">
        <w:rPr>
          <w:u w:val="single"/>
        </w:rPr>
        <w:fldChar w:fldCharType="begin"/>
      </w:r>
      <w:r w:rsidR="0048321D">
        <w:rPr>
          <w:u w:val="single"/>
        </w:rPr>
        <w:instrText xml:space="preserve"> REF _Ref_ContractCompanion_9kb9Ur015 \w \n \h \t \* MERGEFORMAT </w:instrText>
      </w:r>
      <w:r w:rsidR="0048321D">
        <w:rPr>
          <w:u w:val="single"/>
        </w:rPr>
      </w:r>
      <w:r w:rsidR="0048321D">
        <w:rPr>
          <w:u w:val="single"/>
        </w:rPr>
        <w:fldChar w:fldCharType="separate"/>
      </w:r>
      <w:r w:rsidR="006D67B9">
        <w:rPr>
          <w:u w:val="single"/>
        </w:rPr>
        <w:t>2</w:t>
      </w:r>
      <w:r w:rsidR="0048321D">
        <w:rPr>
          <w:u w:val="single"/>
        </w:rPr>
        <w:fldChar w:fldCharType="end"/>
      </w:r>
      <w:r w:rsidRPr="003D105E">
        <w:t xml:space="preserve"> or the right of the Purchasers to rely thereon.</w:t>
      </w:r>
    </w:p>
    <w:p w14:paraId="6E7F0776" w14:textId="6C4E9F5B" w:rsidR="005216F1" w:rsidRPr="003D105E" w:rsidRDefault="00387E3C" w:rsidP="00DA2D7C">
      <w:pPr>
        <w:pStyle w:val="StandardL2"/>
        <w:rPr>
          <w:vanish/>
          <w:specVanish/>
        </w:rPr>
      </w:pPr>
      <w:bookmarkStart w:id="49" w:name="_Toc219945785"/>
      <w:r w:rsidRPr="003D105E">
        <w:t>Restricted Securities</w:t>
      </w:r>
      <w:bookmarkEnd w:id="49"/>
    </w:p>
    <w:p w14:paraId="1A4E2731" w14:textId="77777777" w:rsidR="005216F1" w:rsidRPr="003D105E" w:rsidRDefault="00387E3C" w:rsidP="00DA2D7C">
      <w:pPr>
        <w:pStyle w:val="OHHpara"/>
      </w:pPr>
      <w:r w:rsidRPr="003D105E">
        <w:t>.</w:t>
      </w:r>
      <w:r w:rsidRPr="003D105E">
        <w:rPr>
          <w:bCs/>
        </w:rPr>
        <w:t xml:space="preserve"> </w:t>
      </w:r>
      <w:r w:rsidRPr="003D105E">
        <w:t>The Purchaser understands that the Shares and the Voting Common Shares issuable on conversion thereof have not been, and will not be registered under the 1933 Act or qualified by a prospectus filed with Canadian securities regulatory authorities, by reason of specific exemptions from the registration provisions of the 1933 Act and prospectus provisions of Canadian securities legislation that depend upon, among other things, the bona fide nature of the investment intent and the accuracy of the Purchaser’s representations as expressed herein. The Purchaser understands that the Shares are, and the Voting Common Shares issuable on conversion thereof will be, subject to resale restrictions under Applicable Securities Laws and that, pursuant to these laws, the Purchaser must hold the Shares and the Voting Common Shares issuable on conversion thereof indefinitely unless they are registered with the Securities and Exchange Commission under the 1933 Act and qualified by state authorities, or qualified by a prospectus filed with Canadian securities regulatory authorities, or an exemption from such registration and qualification requirements is available. The Purchaser acknowledges that the Company has no obligation to register or qualify the Shares, or the Voting Common Shares into which they may be converted, for resale, except as set forth in the Investors’ Rights Agreement. The Purchaser further acknowledges that if an exemption from registration or qualification is available, it may be conditioned on various requirements including, but not limited to, the time and manner of sale, the holding period for the Shares, and on requirements relating to the Company that are outside of the Purchaser’s control, and that the Company is under no obligation and may not be able to satisfy.</w:t>
      </w:r>
    </w:p>
    <w:p w14:paraId="434236E0" w14:textId="1F4466CA" w:rsidR="005216F1" w:rsidRPr="003D105E" w:rsidRDefault="00387E3C" w:rsidP="00DA2D7C">
      <w:pPr>
        <w:pStyle w:val="StandardL2"/>
        <w:rPr>
          <w:vanish/>
          <w:specVanish/>
        </w:rPr>
      </w:pPr>
      <w:bookmarkStart w:id="50" w:name="_Toc219945786"/>
      <w:r w:rsidRPr="003D105E">
        <w:t>No Public Market</w:t>
      </w:r>
      <w:bookmarkEnd w:id="50"/>
    </w:p>
    <w:p w14:paraId="5E40126E" w14:textId="77777777" w:rsidR="005216F1" w:rsidRPr="003D105E" w:rsidRDefault="00387E3C" w:rsidP="00DA2D7C">
      <w:pPr>
        <w:pStyle w:val="OHHpara"/>
      </w:pPr>
      <w:r w:rsidRPr="003D105E">
        <w:t>.</w:t>
      </w:r>
      <w:r w:rsidRPr="003D105E">
        <w:rPr>
          <w:bCs/>
        </w:rPr>
        <w:t xml:space="preserve"> </w:t>
      </w:r>
      <w:r w:rsidRPr="003D105E">
        <w:t>The Purchaser understands that no public market now exists for the Shares or the Voting Common Shares issuable on conversion thereof, and that the Company has made no assurances that a public market will ever exist for the Shares or the Voting Common Shares.</w:t>
      </w:r>
    </w:p>
    <w:p w14:paraId="5B0FE4BE" w14:textId="1E280942" w:rsidR="005216F1" w:rsidRPr="003D105E" w:rsidRDefault="00387E3C" w:rsidP="00DA2D7C">
      <w:pPr>
        <w:pStyle w:val="StandardL2"/>
        <w:rPr>
          <w:vanish/>
          <w:specVanish/>
        </w:rPr>
      </w:pPr>
      <w:bookmarkStart w:id="51" w:name="_Toc219945787"/>
      <w:r w:rsidRPr="003D105E">
        <w:t>Legends</w:t>
      </w:r>
      <w:bookmarkEnd w:id="51"/>
    </w:p>
    <w:p w14:paraId="0BC7449D" w14:textId="77777777" w:rsidR="005216F1" w:rsidRPr="003D105E" w:rsidRDefault="00387E3C" w:rsidP="00DA2D7C">
      <w:pPr>
        <w:pStyle w:val="OHHpara"/>
      </w:pPr>
      <w:r w:rsidRPr="003D105E">
        <w:t>. The Purchaser understands that the Shares and the Voting Common Shares issuable on conversion thereof (and any securities issued in respect of or exchange for the Shares or the Voting Common Shares), shall be notated with certain legends required in accordance with Applicable Securities Laws and those legends set forth in, or required by, the other Transaction Agreements.</w:t>
      </w:r>
    </w:p>
    <w:p w14:paraId="769FEA9D" w14:textId="00F7F376" w:rsidR="005216F1" w:rsidRPr="003D105E" w:rsidRDefault="00387E3C" w:rsidP="00DA2D7C">
      <w:pPr>
        <w:pStyle w:val="StandardL2"/>
        <w:rPr>
          <w:vanish/>
          <w:specVanish/>
        </w:rPr>
      </w:pPr>
      <w:bookmarkStart w:id="52" w:name="_Toc219945788"/>
      <w:r w:rsidRPr="003D105E">
        <w:t>Accredited Investor</w:t>
      </w:r>
      <w:bookmarkEnd w:id="52"/>
    </w:p>
    <w:p w14:paraId="6FF86FFC" w14:textId="77777777" w:rsidR="005216F1" w:rsidRPr="003D105E" w:rsidRDefault="00387E3C" w:rsidP="00DA2D7C">
      <w:pPr>
        <w:pStyle w:val="OHHpara"/>
      </w:pPr>
      <w:r w:rsidRPr="003D105E">
        <w:t>.</w:t>
      </w:r>
      <w:r w:rsidRPr="003D105E">
        <w:rPr>
          <w:bCs/>
        </w:rPr>
        <w:t xml:space="preserve"> </w:t>
      </w:r>
      <w:r w:rsidRPr="003D105E">
        <w:t xml:space="preserve">The Purchaser is an “accredited investor” within Section 73.3(3) of the </w:t>
      </w:r>
      <w:r w:rsidRPr="003D105E">
        <w:rPr>
          <w:i/>
        </w:rPr>
        <w:t>Securities Act</w:t>
      </w:r>
      <w:r w:rsidRPr="003D105E">
        <w:t xml:space="preserve"> (Ontario) if the Purchaser is resident in the Province of Ontario or within the meaning of National Instrument 45-106 – </w:t>
      </w:r>
      <w:r w:rsidRPr="003D105E">
        <w:rPr>
          <w:i/>
          <w:iCs/>
        </w:rPr>
        <w:t xml:space="preserve">Prospectus Exemptions </w:t>
      </w:r>
      <w:r w:rsidRPr="003D105E">
        <w:t>(“</w:t>
      </w:r>
      <w:r w:rsidRPr="003D105E">
        <w:rPr>
          <w:b/>
          <w:bCs/>
        </w:rPr>
        <w:t>NI 45-106</w:t>
      </w:r>
      <w:r w:rsidRPr="003D105E">
        <w:t>”) of the Canadian Securities Administrators if the Purchaser is resident elsewhere, and, if the Purchaser is in the United States or is a U.S. Person, the Purchaser is an “accredited investor” within the meaning of Rule 501(a) of Regulation D, promulgated by the Securities and Exchange Commission under the 1933 Act (and in each case, upon reasonable request of the Company, the Purchaser shall provide a written certificate to such effect to the Company).</w:t>
      </w:r>
    </w:p>
    <w:p w14:paraId="28ED0691" w14:textId="4343981C" w:rsidR="005216F1" w:rsidRPr="003D105E" w:rsidRDefault="00387E3C" w:rsidP="00DA2D7C">
      <w:pPr>
        <w:pStyle w:val="StandardL2"/>
        <w:rPr>
          <w:vanish/>
          <w:specVanish/>
        </w:rPr>
      </w:pPr>
      <w:bookmarkStart w:id="53" w:name="_Toc219945789"/>
      <w:r w:rsidRPr="003D105E">
        <w:t>Foreign Investors</w:t>
      </w:r>
      <w:bookmarkEnd w:id="53"/>
    </w:p>
    <w:p w14:paraId="2821B16F" w14:textId="77777777" w:rsidR="005216F1" w:rsidRPr="003D105E" w:rsidRDefault="00387E3C" w:rsidP="00DA2D7C">
      <w:pPr>
        <w:pStyle w:val="OHHpara"/>
      </w:pPr>
      <w:r w:rsidRPr="003D105E">
        <w:t>.</w:t>
      </w:r>
      <w:r w:rsidRPr="003D105E">
        <w:rPr>
          <w:bCs/>
        </w:rPr>
        <w:t xml:space="preserve"> </w:t>
      </w:r>
      <w:r w:rsidRPr="003D105E">
        <w:t>If the Purchaser is not a resident of Canada, a U.S. Person or in the United States, then the Purchaser has satisfied itself as to the full observance of the laws of its jurisdiction in connection with any invitation to subscribe for the Shares and the transactions contemplated by this Agreement, including: (a) the legal requirements within its jurisdiction for the purchase of the Shares; (b) any foreign exchange restrictions applicable to such purchase; (c) any governmental or other consents that may need to be obtained; and (d) the income tax and other tax consequences, if any, that may be relevant to the purchase, holding, redemption, sale, or transfer of the Shares. If the Purchaser is not in the United States and is not a U.S. Person, the Purchaser acknowledges that it is acquiring the Shares in an “offshore transaction” within the meaning of Rule 902(h) of Regulation S under the 1933 Act. The Purchaser’s subscription and payment for and continued beneficial ownership of the Shares will not violate any applicable securities or other laws of the Purchaser’s jurisdiction.</w:t>
      </w:r>
    </w:p>
    <w:p w14:paraId="2FA0B11D" w14:textId="132F4464" w:rsidR="005216F1" w:rsidRPr="003D105E" w:rsidRDefault="00387E3C" w:rsidP="00DA2D7C">
      <w:pPr>
        <w:pStyle w:val="StandardL2"/>
        <w:rPr>
          <w:b/>
          <w:vanish/>
          <w:specVanish/>
        </w:rPr>
      </w:pPr>
      <w:bookmarkStart w:id="54" w:name="_Toc219945790"/>
      <w:r w:rsidRPr="003D105E">
        <w:t>No General Solicitation</w:t>
      </w:r>
      <w:bookmarkEnd w:id="54"/>
    </w:p>
    <w:p w14:paraId="42B76B72" w14:textId="77777777" w:rsidR="005216F1" w:rsidRPr="003D105E" w:rsidRDefault="00387E3C" w:rsidP="00DA2D7C">
      <w:pPr>
        <w:pStyle w:val="OHHpara"/>
        <w:rPr>
          <w:b/>
        </w:rPr>
      </w:pPr>
      <w:r w:rsidRPr="003D105E">
        <w:t>. Neither the Purchaser nor any of its officers, directors, employees, agents, shareholders or partners has either directly or indirectly, including through a broker or finder (a) engaged in any general solicitation or (b) published any advertisement in connection with the offer and sale of the Shares.</w:t>
      </w:r>
    </w:p>
    <w:p w14:paraId="11A1B9F3" w14:textId="175F6395" w:rsidR="005216F1" w:rsidRPr="003D105E" w:rsidRDefault="00387E3C" w:rsidP="00DA2D7C">
      <w:pPr>
        <w:pStyle w:val="StandardL2"/>
        <w:rPr>
          <w:vanish/>
          <w:specVanish/>
        </w:rPr>
      </w:pPr>
      <w:bookmarkStart w:id="55" w:name="_Toc219945791"/>
      <w:r w:rsidRPr="003D105E">
        <w:t>Exculpation Among Purchasers</w:t>
      </w:r>
      <w:bookmarkEnd w:id="55"/>
    </w:p>
    <w:p w14:paraId="04676856" w14:textId="77777777" w:rsidR="005216F1" w:rsidRPr="003D105E" w:rsidRDefault="00387E3C" w:rsidP="00DA2D7C">
      <w:pPr>
        <w:pStyle w:val="OHHpara"/>
      </w:pPr>
      <w:r w:rsidRPr="003D105E">
        <w:t>. The Purchaser acknowledges that it is not relying upon any Person, other than the Company and its officers and directors, in making its investment or decision to invest in the Company. The Purchaser agrees that neither any Purchaser nor the respective controlling Persons, officers, directors, partners, agents or employees of any Purchaser shall be liable to any other Purchaser for any action heretofore taken or omitted to be taken by any of them in connection with the purchase of the Shares.</w:t>
      </w:r>
    </w:p>
    <w:p w14:paraId="0E1A628B" w14:textId="417C07E5" w:rsidR="005216F1" w:rsidRPr="003D105E" w:rsidRDefault="00387E3C" w:rsidP="00DA2D7C">
      <w:pPr>
        <w:pStyle w:val="StandardL2"/>
        <w:rPr>
          <w:vanish/>
          <w:specVanish/>
        </w:rPr>
      </w:pPr>
      <w:bookmarkStart w:id="56" w:name="_Toc219945792"/>
      <w:r w:rsidRPr="003D105E">
        <w:t>Residence</w:t>
      </w:r>
      <w:bookmarkEnd w:id="56"/>
    </w:p>
    <w:p w14:paraId="254323EC" w14:textId="61C644EE" w:rsidR="005216F1" w:rsidRPr="003D105E" w:rsidRDefault="00387E3C" w:rsidP="00DA2D7C">
      <w:pPr>
        <w:pStyle w:val="OHHpara"/>
      </w:pPr>
      <w:r w:rsidRPr="003D105E">
        <w:t xml:space="preserve">. If the Purchaser is an individual, then the Purchaser resides in the jurisdiction identified in the address of the Purchaser set forth on </w:t>
      </w:r>
      <w:r w:rsidRPr="003D105E">
        <w:rPr>
          <w:u w:val="single"/>
        </w:rPr>
        <w:t xml:space="preserve">Exhibit </w:t>
      </w:r>
      <w:r w:rsidR="003A55F0" w:rsidRPr="003A55F0">
        <w:rPr>
          <w:u w:val="single"/>
        </w:rPr>
        <w:fldChar w:fldCharType="begin"/>
      </w:r>
      <w:r w:rsidR="003A55F0" w:rsidRPr="003A55F0">
        <w:rPr>
          <w:u w:val="single"/>
        </w:rPr>
        <w:instrText xml:space="preserve"> REF Ex_A \h  \* MERGEFORMAT </w:instrText>
      </w:r>
      <w:r w:rsidR="003A55F0" w:rsidRPr="003A55F0">
        <w:rPr>
          <w:u w:val="single"/>
        </w:rPr>
      </w:r>
      <w:r w:rsidR="003A55F0" w:rsidRPr="003A55F0">
        <w:rPr>
          <w:u w:val="single"/>
        </w:rPr>
        <w:fldChar w:fldCharType="separate"/>
      </w:r>
      <w:r w:rsidR="006D67B9" w:rsidRPr="006D67B9">
        <w:rPr>
          <w:u w:val="single"/>
        </w:rPr>
        <w:t>A</w:t>
      </w:r>
      <w:r w:rsidR="003A55F0" w:rsidRPr="003A55F0">
        <w:rPr>
          <w:u w:val="single"/>
        </w:rPr>
        <w:fldChar w:fldCharType="end"/>
      </w:r>
      <w:r w:rsidRPr="003D105E">
        <w:t xml:space="preserve">; if the Purchaser is a partnership, corporation, limited liability company or other entity, then the office or offices of the Purchaser in which it has its principal place of business is identified in the address or addresses of the Purchaser set forth on </w:t>
      </w:r>
      <w:r w:rsidRPr="003D105E">
        <w:rPr>
          <w:u w:val="single"/>
        </w:rPr>
        <w:t xml:space="preserve">Exhibit </w:t>
      </w:r>
      <w:r w:rsidR="003A55F0" w:rsidRPr="003A55F0">
        <w:rPr>
          <w:u w:val="single"/>
        </w:rPr>
        <w:fldChar w:fldCharType="begin"/>
      </w:r>
      <w:r w:rsidR="003A55F0" w:rsidRPr="003A55F0">
        <w:rPr>
          <w:u w:val="single"/>
        </w:rPr>
        <w:instrText xml:space="preserve"> REF Ex_A \h  \* MERGEFORMAT </w:instrText>
      </w:r>
      <w:r w:rsidR="003A55F0" w:rsidRPr="003A55F0">
        <w:rPr>
          <w:u w:val="single"/>
        </w:rPr>
      </w:r>
      <w:r w:rsidR="003A55F0" w:rsidRPr="003A55F0">
        <w:rPr>
          <w:u w:val="single"/>
        </w:rPr>
        <w:fldChar w:fldCharType="separate"/>
      </w:r>
      <w:r w:rsidR="006D67B9" w:rsidRPr="006D67B9">
        <w:rPr>
          <w:u w:val="single"/>
        </w:rPr>
        <w:t>A</w:t>
      </w:r>
      <w:r w:rsidR="003A55F0" w:rsidRPr="003A55F0">
        <w:rPr>
          <w:u w:val="single"/>
        </w:rPr>
        <w:fldChar w:fldCharType="end"/>
      </w:r>
      <w:r w:rsidRPr="003D105E">
        <w:t>.</w:t>
      </w:r>
    </w:p>
    <w:p w14:paraId="1BC5DBC5" w14:textId="0ECDD056" w:rsidR="005216F1" w:rsidRPr="003D105E" w:rsidRDefault="00387E3C" w:rsidP="00DA2D7C">
      <w:pPr>
        <w:pStyle w:val="StandardL1"/>
        <w:rPr>
          <w:vanish/>
          <w:specVanish/>
        </w:rPr>
      </w:pPr>
      <w:bookmarkStart w:id="57" w:name="_Toc219945793"/>
      <w:r w:rsidRPr="003D105E">
        <w:t>Conditions to the Purchasers’ Obligations at Closing</w:t>
      </w:r>
      <w:bookmarkEnd w:id="57"/>
    </w:p>
    <w:p w14:paraId="108CCF8A" w14:textId="77777777" w:rsidR="005216F1" w:rsidRPr="003D105E" w:rsidRDefault="00387E3C" w:rsidP="00DA2D7C">
      <w:pPr>
        <w:pStyle w:val="OHHpara"/>
      </w:pPr>
      <w:r w:rsidRPr="003D105E">
        <w:t>.</w:t>
      </w:r>
      <w:r w:rsidRPr="003D105E">
        <w:rPr>
          <w:bCs/>
        </w:rPr>
        <w:t xml:space="preserve"> </w:t>
      </w:r>
      <w:r w:rsidRPr="003D105E">
        <w:t>The obligations of each Purchaser to purchase Shares at the Initial Closing or any subsequent Closing are subject to the fulfillment, on or before the applicable</w:t>
      </w:r>
      <w:r w:rsidRPr="003D105E">
        <w:rPr>
          <w:b/>
          <w:bCs/>
        </w:rPr>
        <w:t xml:space="preserve"> </w:t>
      </w:r>
      <w:r w:rsidRPr="003D105E">
        <w:t>Closing, of each of the following conditions, unless otherwise waived by Purchasers purchasing at least a majority of the Series 3 Seed Preferred</w:t>
      </w:r>
      <w:r w:rsidRPr="003D105E">
        <w:rPr>
          <w:b/>
          <w:bCs/>
        </w:rPr>
        <w:t xml:space="preserve"> </w:t>
      </w:r>
      <w:r w:rsidRPr="003D105E">
        <w:t>Shares in such Closing, in their sole discretion:</w:t>
      </w:r>
    </w:p>
    <w:p w14:paraId="050292BD" w14:textId="4E47C1F2" w:rsidR="005216F1" w:rsidRPr="003D105E" w:rsidRDefault="00387E3C" w:rsidP="00DA2D7C">
      <w:pPr>
        <w:pStyle w:val="StandardL2"/>
        <w:rPr>
          <w:b/>
          <w:vanish/>
          <w:specVanish/>
        </w:rPr>
      </w:pPr>
      <w:bookmarkStart w:id="58" w:name="_Toc219945794"/>
      <w:r w:rsidRPr="003D105E">
        <w:t>Representations and Warranties</w:t>
      </w:r>
      <w:bookmarkEnd w:id="58"/>
    </w:p>
    <w:p w14:paraId="4EC41994" w14:textId="1077906A" w:rsidR="005216F1" w:rsidRPr="003D105E" w:rsidRDefault="00387E3C" w:rsidP="00DA2D7C">
      <w:pPr>
        <w:pStyle w:val="OHHpara"/>
      </w:pPr>
      <w:r w:rsidRPr="003D105E">
        <w:t>.</w:t>
      </w:r>
      <w:r w:rsidRPr="003D105E">
        <w:rPr>
          <w:bCs/>
        </w:rPr>
        <w:t xml:space="preserve"> </w:t>
      </w:r>
      <w:r w:rsidRPr="003D105E">
        <w:t xml:space="preserve">The representations and warranties of the Company contained in </w:t>
      </w:r>
      <w:r w:rsidRPr="003D105E">
        <w:rPr>
          <w:u w:val="single"/>
        </w:rPr>
        <w:t>Section </w:t>
      </w:r>
      <w:r w:rsidR="0048321D">
        <w:rPr>
          <w:u w:val="single"/>
        </w:rPr>
        <w:fldChar w:fldCharType="begin"/>
      </w:r>
      <w:r w:rsidR="0048321D">
        <w:rPr>
          <w:u w:val="single"/>
        </w:rPr>
        <w:instrText xml:space="preserve"> REF _Ref_ContractCompanion_9kb9Ur015 \w \n \h \t \* MERGEFORMAT </w:instrText>
      </w:r>
      <w:r w:rsidR="0048321D">
        <w:rPr>
          <w:u w:val="single"/>
        </w:rPr>
      </w:r>
      <w:r w:rsidR="0048321D">
        <w:rPr>
          <w:u w:val="single"/>
        </w:rPr>
        <w:fldChar w:fldCharType="separate"/>
      </w:r>
      <w:r w:rsidR="006D67B9">
        <w:rPr>
          <w:u w:val="single"/>
        </w:rPr>
        <w:t>2</w:t>
      </w:r>
      <w:r w:rsidR="0048321D">
        <w:rPr>
          <w:u w:val="single"/>
        </w:rPr>
        <w:fldChar w:fldCharType="end"/>
      </w:r>
      <w:r w:rsidRPr="003D105E">
        <w:t>, as modified by the Disclosure Schedule, shall be true and correct in all respects as of the Initial Closing (except, with respect to any such representation or warranty that by its terms speaks only as to a specified date or dates, in which case such representation or warranty shall remain true and correct in all respects at and as of such date or dates).</w:t>
      </w:r>
    </w:p>
    <w:p w14:paraId="54161017" w14:textId="31E82E04" w:rsidR="005216F1" w:rsidRPr="003D105E" w:rsidRDefault="00387E3C" w:rsidP="00DA2D7C">
      <w:pPr>
        <w:pStyle w:val="StandardL2"/>
        <w:rPr>
          <w:vanish/>
          <w:specVanish/>
        </w:rPr>
      </w:pPr>
      <w:bookmarkStart w:id="59" w:name="_Toc219945795"/>
      <w:r w:rsidRPr="003D105E">
        <w:t>Performance</w:t>
      </w:r>
      <w:bookmarkEnd w:id="59"/>
    </w:p>
    <w:p w14:paraId="6D742D93" w14:textId="77777777" w:rsidR="005216F1" w:rsidRPr="003D105E" w:rsidRDefault="00387E3C" w:rsidP="00DA2D7C">
      <w:pPr>
        <w:pStyle w:val="OHHpara"/>
      </w:pPr>
      <w:r w:rsidRPr="003D105E">
        <w:t>.</w:t>
      </w:r>
      <w:r w:rsidRPr="003D105E">
        <w:rPr>
          <w:bCs/>
        </w:rPr>
        <w:t xml:space="preserve"> </w:t>
      </w:r>
      <w:r w:rsidRPr="003D105E">
        <w:t>The Company shall have performed and complied with all covenants, agreements, obligations and conditions contained in this Agreement that are required to be performed or complied with by the Company on or before such Closing.</w:t>
      </w:r>
    </w:p>
    <w:p w14:paraId="1D055DD6" w14:textId="333A25C6" w:rsidR="005216F1" w:rsidRPr="003D105E" w:rsidRDefault="00387E3C" w:rsidP="00DA2D7C">
      <w:pPr>
        <w:pStyle w:val="StandardL2"/>
        <w:rPr>
          <w:vanish/>
          <w:specVanish/>
        </w:rPr>
      </w:pPr>
      <w:bookmarkStart w:id="60" w:name="_Toc219945796"/>
      <w:r w:rsidRPr="003D105E">
        <w:t>Qualifications</w:t>
      </w:r>
      <w:bookmarkEnd w:id="60"/>
    </w:p>
    <w:p w14:paraId="71ED90EA" w14:textId="77777777" w:rsidR="005216F1" w:rsidRPr="003D105E" w:rsidRDefault="00387E3C" w:rsidP="00DA2D7C">
      <w:pPr>
        <w:pStyle w:val="OHHpara"/>
      </w:pPr>
      <w:r w:rsidRPr="003D105E">
        <w:t>.</w:t>
      </w:r>
      <w:r w:rsidRPr="003D105E">
        <w:rPr>
          <w:bCs/>
        </w:rPr>
        <w:t xml:space="preserve"> Except for any notices required or permitted to be filed with certain securities commissions after the applicable Closing, all</w:t>
      </w:r>
      <w:r w:rsidRPr="003D105E">
        <w:t xml:space="preserve"> authorizations, approvals or permits, if any, of any governmental authority or regulatory body that are required in connection with the lawful issuance and sale of the Shares pursuant to this Agreement shall be obtained and effective as of the applicable Closing.</w:t>
      </w:r>
    </w:p>
    <w:p w14:paraId="75D5C9BB" w14:textId="0602E6E7" w:rsidR="005216F1" w:rsidRPr="003D105E" w:rsidRDefault="00387E3C" w:rsidP="00DA2D7C">
      <w:pPr>
        <w:pStyle w:val="StandardL2"/>
        <w:rPr>
          <w:vanish/>
          <w:specVanish/>
        </w:rPr>
      </w:pPr>
      <w:bookmarkStart w:id="61" w:name="_Toc219945798"/>
      <w:r w:rsidRPr="003D105E">
        <w:t>Board of Directors</w:t>
      </w:r>
      <w:bookmarkEnd w:id="61"/>
    </w:p>
    <w:p w14:paraId="25A90F7C" w14:textId="77777777" w:rsidR="005216F1" w:rsidRPr="003D105E" w:rsidRDefault="00387E3C" w:rsidP="00DA2D7C">
      <w:pPr>
        <w:pStyle w:val="OHHpara"/>
      </w:pPr>
      <w:r w:rsidRPr="003D105E">
        <w:t>.</w:t>
      </w:r>
      <w:r w:rsidRPr="003D105E">
        <w:rPr>
          <w:bCs/>
        </w:rPr>
        <w:t xml:space="preserve"> </w:t>
      </w:r>
      <w:r w:rsidRPr="003D105E">
        <w:t>As of the Initial Closing, the authorized size of the Board of Directors shall be</w:t>
      </w:r>
      <w:r w:rsidRPr="003D105E">
        <w:rPr>
          <w:b/>
        </w:rPr>
        <w:t xml:space="preserve"> </w:t>
      </w:r>
      <w:r w:rsidRPr="003D105E">
        <w:rPr>
          <w:rFonts w:ascii="Wingdings" w:eastAsia="Calibri" w:hAnsi="Wingdings"/>
        </w:rPr>
        <w:sym w:font="Wingdings" w:char="F06C"/>
      </w:r>
      <w:r w:rsidRPr="003D105E">
        <w:rPr>
          <w:bCs/>
        </w:rPr>
        <w:t xml:space="preserve">, and the Board shall initially be comprised of </w:t>
      </w:r>
      <w:r w:rsidRPr="003D105E">
        <w:rPr>
          <w:rFonts w:ascii="Wingdings" w:eastAsia="Calibri" w:hAnsi="Wingdings"/>
        </w:rPr>
        <w:sym w:font="Wingdings" w:char="F06C"/>
      </w:r>
      <w:r w:rsidRPr="003D105E">
        <w:t xml:space="preserve">, </w:t>
      </w:r>
      <w:r w:rsidRPr="003D105E">
        <w:rPr>
          <w:rFonts w:ascii="Wingdings" w:eastAsia="Calibri" w:hAnsi="Wingdings"/>
        </w:rPr>
        <w:sym w:font="Wingdings" w:char="F06C"/>
      </w:r>
      <w:r w:rsidRPr="003D105E">
        <w:t xml:space="preserve"> and </w:t>
      </w:r>
      <w:r w:rsidRPr="003D105E">
        <w:rPr>
          <w:rFonts w:ascii="Wingdings" w:eastAsia="Calibri" w:hAnsi="Wingdings"/>
        </w:rPr>
        <w:sym w:font="Wingdings" w:char="F06C"/>
      </w:r>
      <w:r w:rsidRPr="003D105E">
        <w:t>.</w:t>
      </w:r>
    </w:p>
    <w:p w14:paraId="61C3C7F5" w14:textId="3860E889" w:rsidR="005216F1" w:rsidRPr="003D105E" w:rsidRDefault="00387E3C" w:rsidP="00DA2D7C">
      <w:pPr>
        <w:pStyle w:val="StandardL2"/>
        <w:rPr>
          <w:vanish/>
          <w:specVanish/>
        </w:rPr>
      </w:pPr>
      <w:bookmarkStart w:id="62" w:name="_Toc219945799"/>
      <w:r w:rsidRPr="003D105E">
        <w:t>Indemnification Agreements</w:t>
      </w:r>
      <w:bookmarkEnd w:id="62"/>
    </w:p>
    <w:p w14:paraId="2EDAFFE3" w14:textId="77777777" w:rsidR="005216F1" w:rsidRPr="003D105E" w:rsidRDefault="00387E3C" w:rsidP="00DA2D7C">
      <w:pPr>
        <w:pStyle w:val="OHHpara"/>
        <w:rPr>
          <w:b/>
        </w:rPr>
      </w:pPr>
      <w:r w:rsidRPr="003D105E">
        <w:t>.</w:t>
      </w:r>
      <w:r w:rsidRPr="003D105E">
        <w:rPr>
          <w:bCs/>
        </w:rPr>
        <w:t xml:space="preserve"> </w:t>
      </w:r>
      <w:r w:rsidRPr="003D105E">
        <w:t>The Company shall have executed and delivered the Indemnification Agreements.</w:t>
      </w:r>
    </w:p>
    <w:p w14:paraId="229760F0" w14:textId="78C5A795" w:rsidR="005216F1" w:rsidRPr="003D105E" w:rsidRDefault="00387E3C" w:rsidP="00DA2D7C">
      <w:pPr>
        <w:pStyle w:val="StandardL2"/>
        <w:rPr>
          <w:vanish/>
          <w:specVanish/>
        </w:rPr>
      </w:pPr>
      <w:bookmarkStart w:id="63" w:name="_Toc219945800"/>
      <w:r w:rsidRPr="003D105E">
        <w:t>Investors’ Rights Agreement</w:t>
      </w:r>
      <w:bookmarkEnd w:id="63"/>
    </w:p>
    <w:p w14:paraId="246E96E1" w14:textId="77777777" w:rsidR="005216F1" w:rsidRPr="003D105E" w:rsidRDefault="00387E3C" w:rsidP="00DA2D7C">
      <w:pPr>
        <w:pStyle w:val="OHHpara"/>
      </w:pPr>
      <w:r w:rsidRPr="003D105E">
        <w:t>.</w:t>
      </w:r>
      <w:r w:rsidRPr="003D105E">
        <w:rPr>
          <w:bCs/>
        </w:rPr>
        <w:t xml:space="preserve"> </w:t>
      </w:r>
      <w:r w:rsidRPr="003D105E">
        <w:t xml:space="preserve">The Company, each Purchaser </w:t>
      </w:r>
      <w:r w:rsidRPr="003D105E">
        <w:rPr>
          <w:lang w:val="en-US"/>
        </w:rPr>
        <w:t>(other than the Purchaser relying upon this condition to excuse such Purchaser’s performance hereunder)</w:t>
      </w:r>
      <w:r w:rsidRPr="003D105E">
        <w:t>, and the other shareholders of the Company named as parties thereto shall have executed and delivered the Investors’ Rights Agreement.</w:t>
      </w:r>
    </w:p>
    <w:p w14:paraId="419EF85A" w14:textId="51BAFAD6" w:rsidR="005216F1" w:rsidRPr="003D105E" w:rsidRDefault="00387E3C" w:rsidP="00DA2D7C">
      <w:pPr>
        <w:pStyle w:val="StandardL2"/>
        <w:rPr>
          <w:vanish/>
          <w:specVanish/>
        </w:rPr>
      </w:pPr>
      <w:bookmarkStart w:id="64" w:name="_Toc219945801"/>
      <w:r w:rsidRPr="003D105E">
        <w:t>Right of First Refusal and Co</w:t>
      </w:r>
      <w:r w:rsidRPr="003D105E">
        <w:noBreakHyphen/>
        <w:t>Sale Agreement</w:t>
      </w:r>
      <w:bookmarkEnd w:id="64"/>
    </w:p>
    <w:p w14:paraId="0AAA5A88" w14:textId="77777777" w:rsidR="005216F1" w:rsidRPr="003D105E" w:rsidRDefault="00387E3C" w:rsidP="00DA2D7C">
      <w:pPr>
        <w:pStyle w:val="OHHpara"/>
      </w:pPr>
      <w:r w:rsidRPr="003D105E">
        <w:t>.</w:t>
      </w:r>
      <w:r w:rsidRPr="003D105E">
        <w:rPr>
          <w:bCs/>
        </w:rPr>
        <w:t xml:space="preserve"> </w:t>
      </w:r>
      <w:r w:rsidRPr="003D105E">
        <w:t xml:space="preserve">The Company, each Purchaser </w:t>
      </w:r>
      <w:r w:rsidRPr="003D105E">
        <w:rPr>
          <w:lang w:val="en-US"/>
        </w:rPr>
        <w:t>(other than the Purchaser relying upon this condition to excuse such Purchaser’s performance hereunder)</w:t>
      </w:r>
      <w:r w:rsidRPr="003D105E">
        <w:t>, and the other shareholders of the Company named as parties thereto shall have executed and delivered the Right of First Refusal and Co</w:t>
      </w:r>
      <w:r w:rsidRPr="003D105E">
        <w:noBreakHyphen/>
        <w:t>Sale Agreement.</w:t>
      </w:r>
    </w:p>
    <w:p w14:paraId="445FD1F9" w14:textId="0D35B963" w:rsidR="005216F1" w:rsidRPr="003D105E" w:rsidRDefault="00387E3C" w:rsidP="00DA2D7C">
      <w:pPr>
        <w:pStyle w:val="StandardL2"/>
        <w:rPr>
          <w:vanish/>
          <w:specVanish/>
        </w:rPr>
      </w:pPr>
      <w:bookmarkStart w:id="65" w:name="_Toc219945802"/>
      <w:r w:rsidRPr="003D105E">
        <w:t>Voting Agreement</w:t>
      </w:r>
      <w:bookmarkEnd w:id="65"/>
    </w:p>
    <w:p w14:paraId="2B070AA3" w14:textId="77777777" w:rsidR="005216F1" w:rsidRPr="003D105E" w:rsidRDefault="00387E3C" w:rsidP="00DA2D7C">
      <w:pPr>
        <w:pStyle w:val="OHHpara"/>
      </w:pPr>
      <w:r w:rsidRPr="003D105E">
        <w:t xml:space="preserve">. The Company, each Purchaser </w:t>
      </w:r>
      <w:r w:rsidRPr="003D105E">
        <w:rPr>
          <w:lang w:val="en-US"/>
        </w:rPr>
        <w:t>(other than the Purchaser relying upon this condition to excuse such Purchaser’s performance hereunder)</w:t>
      </w:r>
      <w:r w:rsidRPr="003D105E">
        <w:t>, and the other shareholders of the Company named as parties thereto shall have executed and delivered the Voting Agreement.</w:t>
      </w:r>
    </w:p>
    <w:p w14:paraId="482FC623" w14:textId="6115D60B" w:rsidR="005216F1" w:rsidRPr="003D105E" w:rsidRDefault="00387E3C" w:rsidP="00DA2D7C">
      <w:pPr>
        <w:pStyle w:val="StandardL2"/>
        <w:rPr>
          <w:vanish/>
          <w:specVanish/>
        </w:rPr>
      </w:pPr>
      <w:bookmarkStart w:id="66" w:name="_Toc219945803"/>
      <w:r w:rsidRPr="003D105E">
        <w:t>Articles of Amendment</w:t>
      </w:r>
      <w:bookmarkEnd w:id="66"/>
    </w:p>
    <w:p w14:paraId="6BD10C05" w14:textId="77777777" w:rsidR="005216F1" w:rsidRPr="003D105E" w:rsidRDefault="00387E3C" w:rsidP="00DA2D7C">
      <w:pPr>
        <w:pStyle w:val="OHHpara"/>
      </w:pPr>
      <w:r w:rsidRPr="003D105E">
        <w:t>. The Company shall have filed the Articles of Amendment on or prior to the Initial Closing, and the Articles of Amendment shall continue to be in full force and effect as of the Initial Closing.</w:t>
      </w:r>
    </w:p>
    <w:p w14:paraId="4DC71DD1" w14:textId="1DC13DFD" w:rsidR="005216F1" w:rsidRPr="003D105E" w:rsidRDefault="00387E3C" w:rsidP="00DA2D7C">
      <w:pPr>
        <w:pStyle w:val="StandardL2"/>
        <w:rPr>
          <w:vanish/>
          <w:specVanish/>
        </w:rPr>
      </w:pPr>
      <w:bookmarkStart w:id="67" w:name="_Toc219945804"/>
      <w:r w:rsidRPr="003D105E">
        <w:t>Proceedings and Documents</w:t>
      </w:r>
      <w:bookmarkEnd w:id="67"/>
    </w:p>
    <w:p w14:paraId="6ACFBA75" w14:textId="77777777" w:rsidR="005216F1" w:rsidRPr="003D105E" w:rsidRDefault="00387E3C" w:rsidP="00DA2D7C">
      <w:pPr>
        <w:pStyle w:val="OHHpara"/>
      </w:pPr>
      <w:r w:rsidRPr="003D105E">
        <w:t>.</w:t>
      </w:r>
      <w:r w:rsidRPr="003D105E">
        <w:rPr>
          <w:bCs/>
        </w:rPr>
        <w:t xml:space="preserve"> </w:t>
      </w:r>
      <w:r w:rsidRPr="003D105E">
        <w:t>All corporate and other proceedings in connection with the transactions contemplated at such Closing and all documents incidental thereto shall be reasonably satisfactory in form and substance to each Purchaser, and each Purchaser (or its respective counsel) shall have received all such counterpart original and certified or other copies of such documents as reasonably requested. Such documents may include good standing certificates.</w:t>
      </w:r>
    </w:p>
    <w:p w14:paraId="3E310B0C" w14:textId="1973CC28" w:rsidR="005216F1" w:rsidRPr="003D105E" w:rsidRDefault="00387E3C" w:rsidP="00DA2D7C">
      <w:pPr>
        <w:pStyle w:val="StandardL2"/>
        <w:rPr>
          <w:vanish/>
          <w:lang w:val="en-US"/>
          <w:specVanish/>
        </w:rPr>
      </w:pPr>
      <w:bookmarkStart w:id="68" w:name="_Toc219945805"/>
      <w:r w:rsidRPr="003D105E">
        <w:rPr>
          <w:lang w:val="en-US"/>
        </w:rPr>
        <w:t>[Management Rights</w:t>
      </w:r>
      <w:bookmarkEnd w:id="68"/>
    </w:p>
    <w:p w14:paraId="7A819E9A" w14:textId="77777777" w:rsidR="005216F1" w:rsidRPr="003D105E" w:rsidRDefault="00387E3C" w:rsidP="00DA2D7C">
      <w:pPr>
        <w:pStyle w:val="OHHpara"/>
        <w:rPr>
          <w:lang w:val="en-US"/>
        </w:rPr>
      </w:pPr>
      <w:r w:rsidRPr="003D105E">
        <w:rPr>
          <w:lang w:val="en-US"/>
        </w:rPr>
        <w:t>. The Management Rights Letter shall have been executed by the Company and delivered to the Lead Investor.]</w:t>
      </w:r>
    </w:p>
    <w:p w14:paraId="59AE7294" w14:textId="08BE25BF" w:rsidR="005216F1" w:rsidRPr="003D105E" w:rsidRDefault="00387E3C" w:rsidP="00DA2D7C">
      <w:pPr>
        <w:pStyle w:val="StandardL1"/>
        <w:rPr>
          <w:vanish/>
          <w:specVanish/>
        </w:rPr>
      </w:pPr>
      <w:bookmarkStart w:id="69" w:name="_Toc219945806"/>
      <w:r w:rsidRPr="003D105E">
        <w:t>Conditions of the Company’s Obligations at Closing</w:t>
      </w:r>
      <w:bookmarkEnd w:id="69"/>
    </w:p>
    <w:p w14:paraId="146E82B1" w14:textId="77777777" w:rsidR="005216F1" w:rsidRPr="003D105E" w:rsidRDefault="00387E3C" w:rsidP="00DA2D7C">
      <w:pPr>
        <w:pStyle w:val="OHHpara"/>
      </w:pPr>
      <w:r w:rsidRPr="003D105E">
        <w:t>.</w:t>
      </w:r>
      <w:r w:rsidRPr="003D105E">
        <w:rPr>
          <w:bCs/>
        </w:rPr>
        <w:t xml:space="preserve"> </w:t>
      </w:r>
      <w:r w:rsidRPr="003D105E">
        <w:t>The obligations of the Company to sell Shares to the Purchasers at the Initial Closing or any subsequent Closing are subject to the fulfillment, on or before such Closing, of each of the following conditions, unless otherwise waived by the Company in its sole discretion:</w:t>
      </w:r>
    </w:p>
    <w:p w14:paraId="6E987B7E" w14:textId="0A6BEBAF" w:rsidR="005216F1" w:rsidRPr="003D105E" w:rsidRDefault="00387E3C" w:rsidP="00DA2D7C">
      <w:pPr>
        <w:pStyle w:val="StandardL2"/>
        <w:rPr>
          <w:vanish/>
          <w:specVanish/>
        </w:rPr>
      </w:pPr>
      <w:bookmarkStart w:id="70" w:name="_Toc219945807"/>
      <w:r w:rsidRPr="003D105E">
        <w:t>Representations and Warranties</w:t>
      </w:r>
      <w:bookmarkEnd w:id="70"/>
    </w:p>
    <w:p w14:paraId="6AC67DA4" w14:textId="57A0522C" w:rsidR="005216F1" w:rsidRPr="003D105E" w:rsidRDefault="00387E3C" w:rsidP="00DA2D7C">
      <w:pPr>
        <w:pStyle w:val="OHHpara"/>
      </w:pPr>
      <w:r w:rsidRPr="003D105E">
        <w:t xml:space="preserve">. The representations and warranties of each Purchaser purchasing Shares in such Closing contained in </w:t>
      </w:r>
      <w:r w:rsidRPr="003D105E">
        <w:rPr>
          <w:u w:val="single"/>
        </w:rPr>
        <w:t>Section </w:t>
      </w:r>
      <w:r w:rsidR="0048321D">
        <w:rPr>
          <w:u w:val="single"/>
        </w:rPr>
        <w:fldChar w:fldCharType="begin"/>
      </w:r>
      <w:r w:rsidR="0048321D">
        <w:rPr>
          <w:u w:val="single"/>
        </w:rPr>
        <w:instrText xml:space="preserve"> REF _Ref_ContractCompanion_9kb9Ur02C \w \n \h \t \* MERGEFORMAT </w:instrText>
      </w:r>
      <w:r w:rsidR="0048321D">
        <w:rPr>
          <w:u w:val="single"/>
        </w:rPr>
      </w:r>
      <w:r w:rsidR="0048321D">
        <w:rPr>
          <w:u w:val="single"/>
        </w:rPr>
        <w:fldChar w:fldCharType="separate"/>
      </w:r>
      <w:r w:rsidR="006D67B9">
        <w:rPr>
          <w:u w:val="single"/>
        </w:rPr>
        <w:t>3</w:t>
      </w:r>
      <w:r w:rsidR="0048321D">
        <w:rPr>
          <w:u w:val="single"/>
        </w:rPr>
        <w:fldChar w:fldCharType="end"/>
      </w:r>
      <w:r w:rsidRPr="003D105E">
        <w:t xml:space="preserve"> shall be true and correct in all respects as of the applicable Closing (except, with respect to any such representation or warranty that by its terms speaks only to a specified date or dates, in which case such representation or warranty shall remain true and correct in all respects at and as of such date or dates).</w:t>
      </w:r>
    </w:p>
    <w:p w14:paraId="5BCEF9EF" w14:textId="693D412F" w:rsidR="005216F1" w:rsidRPr="003D105E" w:rsidRDefault="00387E3C" w:rsidP="00DA2D7C">
      <w:pPr>
        <w:pStyle w:val="StandardL2"/>
        <w:rPr>
          <w:vanish/>
          <w:specVanish/>
        </w:rPr>
      </w:pPr>
      <w:bookmarkStart w:id="71" w:name="_Toc219945808"/>
      <w:r w:rsidRPr="003D105E">
        <w:t>Performance</w:t>
      </w:r>
      <w:bookmarkEnd w:id="71"/>
    </w:p>
    <w:p w14:paraId="2E571B52" w14:textId="77777777" w:rsidR="005216F1" w:rsidRPr="003D105E" w:rsidRDefault="00387E3C" w:rsidP="00DA2D7C">
      <w:pPr>
        <w:pStyle w:val="OHHpara"/>
      </w:pPr>
      <w:r w:rsidRPr="003D105E">
        <w:t>.</w:t>
      </w:r>
      <w:r w:rsidRPr="003D105E">
        <w:rPr>
          <w:bCs/>
        </w:rPr>
        <w:t xml:space="preserve"> </w:t>
      </w:r>
      <w:r w:rsidRPr="003D105E">
        <w:t>The Purchasers purchasing Shares in such Closing shall have performed and complied with all covenants, agreements, obligations and conditions contained in this Agreement that are required to be performed or complied with by them on or before the applicable Closing.</w:t>
      </w:r>
    </w:p>
    <w:p w14:paraId="5EBFD5EE" w14:textId="6DFA9325" w:rsidR="005216F1" w:rsidRPr="003D105E" w:rsidRDefault="00387E3C" w:rsidP="00DA2D7C">
      <w:pPr>
        <w:pStyle w:val="StandardL2"/>
        <w:rPr>
          <w:vanish/>
          <w:specVanish/>
        </w:rPr>
      </w:pPr>
      <w:bookmarkStart w:id="72" w:name="_Toc219945809"/>
      <w:r w:rsidRPr="003D105E">
        <w:t>Qualifications</w:t>
      </w:r>
      <w:bookmarkEnd w:id="72"/>
    </w:p>
    <w:p w14:paraId="007EEDB2" w14:textId="77777777" w:rsidR="005216F1" w:rsidRPr="003D105E" w:rsidRDefault="00387E3C" w:rsidP="00DA2D7C">
      <w:pPr>
        <w:pStyle w:val="OHHpara"/>
      </w:pPr>
      <w:r w:rsidRPr="003D105E">
        <w:t>.</w:t>
      </w:r>
      <w:r w:rsidRPr="003D105E">
        <w:rPr>
          <w:bCs/>
        </w:rPr>
        <w:t xml:space="preserve"> </w:t>
      </w:r>
      <w:r w:rsidRPr="003D105E">
        <w:t>All authorizations, approvals or permits, if any, of any governmental authority or regulatory body that are required in connection with the lawful issuance and sale of the Shares pursuant to this Agreement shall be obtained and effective as of such Closing.</w:t>
      </w:r>
    </w:p>
    <w:p w14:paraId="20717E2A" w14:textId="40EBE1EF" w:rsidR="005216F1" w:rsidRPr="003D105E" w:rsidRDefault="00387E3C" w:rsidP="00DA2D7C">
      <w:pPr>
        <w:pStyle w:val="StandardL2"/>
        <w:rPr>
          <w:vanish/>
          <w:specVanish/>
        </w:rPr>
      </w:pPr>
      <w:bookmarkStart w:id="73" w:name="_Toc219945810"/>
      <w:r w:rsidRPr="003D105E">
        <w:t>Investors’ Rights Agreement</w:t>
      </w:r>
      <w:bookmarkEnd w:id="73"/>
    </w:p>
    <w:p w14:paraId="3D01C316" w14:textId="77777777" w:rsidR="005216F1" w:rsidRPr="003D105E" w:rsidRDefault="00387E3C" w:rsidP="00DA2D7C">
      <w:pPr>
        <w:pStyle w:val="OHHpara"/>
      </w:pPr>
      <w:r w:rsidRPr="003D105E">
        <w:t>.</w:t>
      </w:r>
      <w:r w:rsidRPr="003D105E">
        <w:rPr>
          <w:bCs/>
        </w:rPr>
        <w:t xml:space="preserve"> </w:t>
      </w:r>
      <w:r w:rsidRPr="003D105E">
        <w:t>Each Purchaser and the other shareholders of the Company named as parties thereto shall have executed and delivered the Investors’ Rights Agreement.</w:t>
      </w:r>
    </w:p>
    <w:p w14:paraId="07A60052" w14:textId="34477274" w:rsidR="005216F1" w:rsidRPr="003D105E" w:rsidRDefault="00387E3C" w:rsidP="00DA2D7C">
      <w:pPr>
        <w:pStyle w:val="StandardL2"/>
        <w:rPr>
          <w:vanish/>
          <w:specVanish/>
        </w:rPr>
      </w:pPr>
      <w:bookmarkStart w:id="74" w:name="_Toc219945811"/>
      <w:r w:rsidRPr="003D105E">
        <w:t>Right of First Refusal and Co</w:t>
      </w:r>
      <w:r w:rsidRPr="003D105E">
        <w:noBreakHyphen/>
        <w:t>Sale Agreement</w:t>
      </w:r>
      <w:bookmarkEnd w:id="74"/>
    </w:p>
    <w:p w14:paraId="0666F301" w14:textId="77777777" w:rsidR="005216F1" w:rsidRPr="003D105E" w:rsidRDefault="00387E3C" w:rsidP="00DA2D7C">
      <w:pPr>
        <w:pStyle w:val="OHHpara"/>
      </w:pPr>
      <w:r w:rsidRPr="003D105E">
        <w:t>.</w:t>
      </w:r>
      <w:r w:rsidRPr="003D105E">
        <w:rPr>
          <w:bCs/>
        </w:rPr>
        <w:t xml:space="preserve"> </w:t>
      </w:r>
      <w:r w:rsidRPr="003D105E">
        <w:t>Each Purchaser and the other shareholders of the Company named as parties thereto shall have executed and delivered the Right of First Refusal and Co</w:t>
      </w:r>
      <w:r w:rsidRPr="003D105E">
        <w:noBreakHyphen/>
        <w:t>Sale Agreement.</w:t>
      </w:r>
    </w:p>
    <w:p w14:paraId="36851D18" w14:textId="33FEA3CF" w:rsidR="005216F1" w:rsidRPr="003D105E" w:rsidRDefault="00387E3C" w:rsidP="00DA2D7C">
      <w:pPr>
        <w:pStyle w:val="StandardL2"/>
        <w:rPr>
          <w:vanish/>
          <w:specVanish/>
        </w:rPr>
      </w:pPr>
      <w:bookmarkStart w:id="75" w:name="_Toc219945812"/>
      <w:r w:rsidRPr="003D105E">
        <w:t>Voting Agreement</w:t>
      </w:r>
      <w:bookmarkEnd w:id="75"/>
    </w:p>
    <w:p w14:paraId="2BB9F03F" w14:textId="77777777" w:rsidR="005216F1" w:rsidRPr="003D105E" w:rsidRDefault="00387E3C" w:rsidP="00DA2D7C">
      <w:pPr>
        <w:pStyle w:val="OHHpara"/>
      </w:pPr>
      <w:r w:rsidRPr="003D105E">
        <w:t>.</w:t>
      </w:r>
      <w:r w:rsidRPr="003D105E">
        <w:rPr>
          <w:bCs/>
        </w:rPr>
        <w:t xml:space="preserve"> </w:t>
      </w:r>
      <w:r w:rsidRPr="003D105E">
        <w:t>Each Purchaser and the other shareholders of the Company named as parties thereto shall have executed and delivered the Voting Agreement.</w:t>
      </w:r>
    </w:p>
    <w:p w14:paraId="17426227" w14:textId="4ADF039B" w:rsidR="005216F1" w:rsidRPr="003D105E" w:rsidRDefault="00387E3C" w:rsidP="00DA2D7C">
      <w:pPr>
        <w:pStyle w:val="StandardL2"/>
        <w:rPr>
          <w:vanish/>
          <w:lang w:val="en-US"/>
          <w:specVanish/>
        </w:rPr>
      </w:pPr>
      <w:bookmarkStart w:id="76" w:name="_Toc219945813"/>
      <w:r w:rsidRPr="003D105E">
        <w:rPr>
          <w:lang w:val="en-US"/>
        </w:rPr>
        <w:t>[Management Rights</w:t>
      </w:r>
      <w:bookmarkEnd w:id="76"/>
    </w:p>
    <w:p w14:paraId="68BC2DA9" w14:textId="77777777" w:rsidR="005216F1" w:rsidRPr="003D105E" w:rsidRDefault="00387E3C" w:rsidP="00DA2D7C">
      <w:pPr>
        <w:pStyle w:val="OHHpara"/>
        <w:rPr>
          <w:lang w:val="en-US"/>
        </w:rPr>
      </w:pPr>
      <w:r w:rsidRPr="003D105E">
        <w:rPr>
          <w:lang w:val="en-US"/>
        </w:rPr>
        <w:t>. The Management Rights Letter shall have been executed by the Lead Investor and delivered to the Company.]</w:t>
      </w:r>
    </w:p>
    <w:p w14:paraId="16308EC7" w14:textId="689A2F1E" w:rsidR="005216F1" w:rsidRPr="003D105E" w:rsidRDefault="00387E3C" w:rsidP="00DA2D7C">
      <w:pPr>
        <w:pStyle w:val="StandardL2"/>
        <w:rPr>
          <w:vanish/>
          <w:specVanish/>
        </w:rPr>
      </w:pPr>
      <w:bookmarkStart w:id="77" w:name="_Toc219945814"/>
      <w:r w:rsidRPr="003D105E">
        <w:t>Accredited Investor Certificate</w:t>
      </w:r>
      <w:bookmarkEnd w:id="77"/>
    </w:p>
    <w:p w14:paraId="5FE22EB9" w14:textId="77777777" w:rsidR="005216F1" w:rsidRPr="003D105E" w:rsidRDefault="00387E3C" w:rsidP="00DA2D7C">
      <w:pPr>
        <w:pStyle w:val="OHHpara"/>
        <w:rPr>
          <w:u w:val="single"/>
        </w:rPr>
      </w:pPr>
      <w:r w:rsidRPr="003D105E">
        <w:t>.</w:t>
      </w:r>
      <w:r w:rsidRPr="003D105E">
        <w:rPr>
          <w:bCs/>
        </w:rPr>
        <w:t xml:space="preserve"> Upon the Company’s request, e</w:t>
      </w:r>
      <w:r w:rsidRPr="003D105E">
        <w:t>ach Purchaser shall deliver to the Company an executed accredited investor certificate in the form requested by the Company, and if an “individual” within the meaning of NI 45-106, shall also deliver to the Company a risk acknowledgement in the form requested by the Company. Each Purchaser that is in the United States or that is a U.S. Person shall also deliver, upon the Company’s request, an executed U.S. accredited investor certificate in the form requested by the Company.</w:t>
      </w:r>
    </w:p>
    <w:p w14:paraId="63D4FDCF" w14:textId="77777777" w:rsidR="00994BDE" w:rsidRPr="00994BDE" w:rsidRDefault="00387E3C" w:rsidP="00DA2D7C">
      <w:pPr>
        <w:pStyle w:val="StandardL1"/>
        <w:rPr>
          <w:vanish/>
          <w:specVanish/>
        </w:rPr>
      </w:pPr>
      <w:bookmarkStart w:id="78" w:name="_Toc219945815"/>
      <w:r w:rsidRPr="003D105E">
        <w:t>M</w:t>
      </w:r>
      <w:r w:rsidRPr="003D105E">
        <w:rPr>
          <w:bCs/>
        </w:rPr>
        <w:t>i</w:t>
      </w:r>
      <w:r w:rsidRPr="003D105E">
        <w:t>scellaneous</w:t>
      </w:r>
      <w:bookmarkEnd w:id="78"/>
    </w:p>
    <w:p w14:paraId="03276586" w14:textId="7287BA34" w:rsidR="005216F1" w:rsidRPr="003D105E" w:rsidRDefault="00387E3C" w:rsidP="00994BDE">
      <w:pPr>
        <w:pStyle w:val="OHHpara"/>
      </w:pPr>
      <w:r w:rsidRPr="003D105E">
        <w:t>.</w:t>
      </w:r>
    </w:p>
    <w:p w14:paraId="196E71E4" w14:textId="7E0E7B9E" w:rsidR="005216F1" w:rsidRPr="003D105E" w:rsidRDefault="00387E3C" w:rsidP="00DA2D7C">
      <w:pPr>
        <w:pStyle w:val="StandardL2"/>
        <w:rPr>
          <w:b/>
          <w:vanish/>
          <w:specVanish/>
        </w:rPr>
      </w:pPr>
      <w:bookmarkStart w:id="79" w:name="_Toc219945816"/>
      <w:r w:rsidRPr="003D105E">
        <w:t>Survival of Representations and Warranties</w:t>
      </w:r>
      <w:bookmarkEnd w:id="79"/>
    </w:p>
    <w:p w14:paraId="3D13F1C0" w14:textId="77777777" w:rsidR="005216F1" w:rsidRPr="003D105E" w:rsidRDefault="00387E3C" w:rsidP="00DA2D7C">
      <w:pPr>
        <w:pStyle w:val="OHHpara"/>
        <w:rPr>
          <w:b/>
        </w:rPr>
      </w:pPr>
      <w:r w:rsidRPr="003D105E">
        <w:t>.</w:t>
      </w:r>
      <w:r w:rsidRPr="003D105E">
        <w:rPr>
          <w:bCs/>
        </w:rPr>
        <w:t xml:space="preserve"> </w:t>
      </w:r>
      <w:r w:rsidRPr="003D105E">
        <w:t>Unless otherwise set forth in this Agreement, the representations and warranties of the Company and the Purchasers contained in or made pursuant to this Agreement shall survive the execution and delivery of this Agreement and the Closing and shall in no way be affected by any investigation or knowledge of the subject matter thereof made by or on behalf of the Purchasers or the Company.</w:t>
      </w:r>
    </w:p>
    <w:p w14:paraId="412E2CE4" w14:textId="0CA967EB" w:rsidR="005216F1" w:rsidRPr="003D105E" w:rsidRDefault="00387E3C" w:rsidP="00DA2D7C">
      <w:pPr>
        <w:pStyle w:val="StandardL2"/>
        <w:rPr>
          <w:vanish/>
          <w:specVanish/>
        </w:rPr>
      </w:pPr>
      <w:bookmarkStart w:id="80" w:name="_Toc219945817"/>
      <w:r w:rsidRPr="003D105E">
        <w:t>Successors and Assigns</w:t>
      </w:r>
      <w:bookmarkEnd w:id="80"/>
    </w:p>
    <w:p w14:paraId="237CEE03" w14:textId="77777777" w:rsidR="005216F1" w:rsidRPr="003D105E" w:rsidRDefault="00387E3C" w:rsidP="00DA2D7C">
      <w:pPr>
        <w:pStyle w:val="OHHpara"/>
      </w:pPr>
      <w:r w:rsidRPr="003D105E">
        <w:t>. The terms and conditions of this Agreement shall enure to the benefit of and be binding upon the parties and their respective heirs, attorneys, guardians, estate trustees, executors, trustees, successors (including any successor by reason of amalgamation of any party) and permitted assigns</w:t>
      </w:r>
      <w:r w:rsidRPr="003D105E">
        <w:rPr>
          <w:iCs/>
        </w:rPr>
        <w:t xml:space="preserve">. Nothing in this Agreement, express or implied, is intended to confer upon any party other than the parties hereto or </w:t>
      </w:r>
      <w:r w:rsidRPr="003D105E">
        <w:t>their respective heirs, attorneys, guardians, estate trustees, executors, trustees, successors (including any successor by reason of amalgamation of any party) and permitted assigns</w:t>
      </w:r>
      <w:r w:rsidRPr="003D105E">
        <w:rPr>
          <w:iCs/>
        </w:rPr>
        <w:t xml:space="preserve"> any rights, remedies, obligations, or liabilities under or by reason of this Agreement, except as expressly provided in this Agreement</w:t>
      </w:r>
      <w:r w:rsidRPr="003D105E">
        <w:t>.</w:t>
      </w:r>
    </w:p>
    <w:p w14:paraId="0AC3B200" w14:textId="5A045E3D" w:rsidR="005216F1" w:rsidRPr="003D105E" w:rsidRDefault="00387E3C" w:rsidP="00DA2D7C">
      <w:pPr>
        <w:pStyle w:val="StandardL2"/>
        <w:rPr>
          <w:bCs/>
          <w:vanish/>
          <w:specVanish/>
        </w:rPr>
      </w:pPr>
      <w:bookmarkStart w:id="81" w:name="_Toc219945818"/>
      <w:r w:rsidRPr="003D105E">
        <w:t>Governing Law</w:t>
      </w:r>
      <w:bookmarkEnd w:id="81"/>
    </w:p>
    <w:p w14:paraId="1090535D" w14:textId="77777777" w:rsidR="005216F1" w:rsidRPr="003D105E" w:rsidRDefault="00387E3C" w:rsidP="00DA2D7C">
      <w:pPr>
        <w:pStyle w:val="OHHpara"/>
        <w:rPr>
          <w:bCs/>
        </w:rPr>
      </w:pPr>
      <w:r w:rsidRPr="003D105E">
        <w:t xml:space="preserve">. This Agreement shall be governed by the laws of the Province of </w:t>
      </w:r>
      <w:r w:rsidRPr="003D105E">
        <w:rPr>
          <w:bCs/>
        </w:rPr>
        <w:t>[Province]</w:t>
      </w:r>
      <w:r w:rsidRPr="003D105E">
        <w:t xml:space="preserve"> and the federal laws of Canada applicable therein.</w:t>
      </w:r>
    </w:p>
    <w:p w14:paraId="0BDAD474" w14:textId="74A02904" w:rsidR="005216F1" w:rsidRPr="003D105E" w:rsidRDefault="00387E3C" w:rsidP="00DA2D7C">
      <w:pPr>
        <w:pStyle w:val="StandardL2"/>
        <w:rPr>
          <w:vanish/>
          <w:specVanish/>
        </w:rPr>
      </w:pPr>
      <w:bookmarkStart w:id="82" w:name="_Toc219945819"/>
      <w:r w:rsidRPr="003D105E">
        <w:t>Counterparts</w:t>
      </w:r>
      <w:bookmarkEnd w:id="82"/>
    </w:p>
    <w:p w14:paraId="65152C6C" w14:textId="7C0C3F96" w:rsidR="005216F1" w:rsidRPr="003D105E" w:rsidRDefault="00387E3C" w:rsidP="00DA2D7C">
      <w:pPr>
        <w:pStyle w:val="OHHpara"/>
      </w:pPr>
      <w:r w:rsidRPr="003D105E">
        <w:t>.</w:t>
      </w:r>
      <w:r w:rsidRPr="003D105E">
        <w:rPr>
          <w:bCs/>
        </w:rPr>
        <w:t xml:space="preserve"> </w:t>
      </w:r>
      <w:r w:rsidRPr="003D105E">
        <w:rPr>
          <w:w w:val="0"/>
        </w:rPr>
        <w:t xml:space="preserve">This Agreement may be executed in two or more counterparts, each of which shall be deemed an original, but all of which together shall constitute one and the same instrument. Counterparts may be delivered via </w:t>
      </w:r>
      <w:r w:rsidR="00D470A7">
        <w:t>email</w:t>
      </w:r>
      <w:r w:rsidR="00D470A7" w:rsidRPr="00D85E8F">
        <w:t xml:space="preserve"> </w:t>
      </w:r>
      <w:r w:rsidRPr="003D105E">
        <w:rPr>
          <w:w w:val="0"/>
        </w:rPr>
        <w:t>(including pdf or any electronic signature, e.g., www.docusign.com) or other transmission method and any counterpart so delivered shall be deemed to have been duly and validly delivered and be valid and effective for all purposes</w:t>
      </w:r>
      <w:r w:rsidRPr="003D105E">
        <w:t>.</w:t>
      </w:r>
    </w:p>
    <w:p w14:paraId="7856139B" w14:textId="3F527D02" w:rsidR="005216F1" w:rsidRPr="003D105E" w:rsidRDefault="00387E3C" w:rsidP="00DA2D7C">
      <w:pPr>
        <w:pStyle w:val="StandardL2"/>
        <w:rPr>
          <w:vanish/>
          <w:specVanish/>
        </w:rPr>
      </w:pPr>
      <w:bookmarkStart w:id="83" w:name="_Toc219945820"/>
      <w:r w:rsidRPr="003D105E">
        <w:t>Titles and Subtitles</w:t>
      </w:r>
      <w:bookmarkEnd w:id="83"/>
    </w:p>
    <w:p w14:paraId="193B227D" w14:textId="77777777" w:rsidR="005216F1" w:rsidRPr="003D105E" w:rsidRDefault="00387E3C" w:rsidP="00DA2D7C">
      <w:pPr>
        <w:pStyle w:val="OHHpara"/>
      </w:pPr>
      <w:r w:rsidRPr="003D105E">
        <w:t>.</w:t>
      </w:r>
      <w:r w:rsidRPr="003D105E">
        <w:rPr>
          <w:bCs/>
        </w:rPr>
        <w:t xml:space="preserve"> </w:t>
      </w:r>
      <w:r w:rsidRPr="003D105E">
        <w:t>The titles and subtitles used in this Agreement are used for convenience only and are not to be considered in construing or interpreting this Agreement.</w:t>
      </w:r>
    </w:p>
    <w:p w14:paraId="0CA6CE95" w14:textId="5A92879F" w:rsidR="005216F1" w:rsidRPr="003D105E" w:rsidRDefault="00387E3C" w:rsidP="00DA2D7C">
      <w:pPr>
        <w:pStyle w:val="StandardL2"/>
        <w:rPr>
          <w:vanish/>
          <w:specVanish/>
        </w:rPr>
      </w:pPr>
      <w:bookmarkStart w:id="84" w:name="_Ref_ContractCompanion_9kb9Ur03D"/>
      <w:bookmarkStart w:id="85" w:name="_Toc219945821"/>
      <w:r w:rsidRPr="003D105E">
        <w:t>Notices</w:t>
      </w:r>
      <w:bookmarkEnd w:id="84"/>
      <w:bookmarkEnd w:id="85"/>
    </w:p>
    <w:p w14:paraId="764FF44E" w14:textId="77777777" w:rsidR="005216F1" w:rsidRPr="003D105E" w:rsidRDefault="00387E3C" w:rsidP="00DA2D7C">
      <w:pPr>
        <w:pStyle w:val="OHHpara"/>
        <w:rPr>
          <w:snapToGrid w:val="0"/>
        </w:rPr>
      </w:pPr>
      <w:r w:rsidRPr="003D105E">
        <w:t>.</w:t>
      </w:r>
    </w:p>
    <w:p w14:paraId="745C4DCB" w14:textId="1630D4BC" w:rsidR="005216F1" w:rsidRPr="003D105E" w:rsidRDefault="00387E3C" w:rsidP="00DA2D7C">
      <w:pPr>
        <w:pStyle w:val="StandardL3"/>
        <w:rPr>
          <w:lang w:val="en-US"/>
        </w:rPr>
      </w:pPr>
      <w:r w:rsidRPr="003D105E">
        <w:rPr>
          <w:u w:val="single"/>
          <w:lang w:val="en-US"/>
        </w:rPr>
        <w:t>General</w:t>
      </w:r>
      <w:r w:rsidRPr="003D105E">
        <w:rPr>
          <w:lang w:val="en-US"/>
        </w:rPr>
        <w:t xml:space="preserve">. All notices and other communications given or made pursuant to this Agreement shall be in writing (including </w:t>
      </w:r>
      <w:r w:rsidR="00D470A7">
        <w:t>email</w:t>
      </w:r>
      <w:r w:rsidR="00D470A7" w:rsidRPr="00D85E8F">
        <w:t xml:space="preserve"> </w:t>
      </w:r>
      <w:r w:rsidRPr="003D105E">
        <w:rPr>
          <w:lang w:val="en-US"/>
        </w:rPr>
        <w:t xml:space="preserve">as permitted in this Agreement)  and </w:t>
      </w:r>
      <w:r w:rsidR="00D470A7" w:rsidRPr="00EB7660">
        <w:t xml:space="preserve">shall be </w:t>
      </w:r>
      <w:r w:rsidRPr="003D105E">
        <w:rPr>
          <w:lang w:val="en-US"/>
        </w:rPr>
        <w:t xml:space="preserve">deemed effectively given upon the earlier of actual receipt or: (i) personal delivery to the party to be notified, (ii) when sent, if sent by </w:t>
      </w:r>
      <w:bookmarkStart w:id="86" w:name="_Hlk220263218"/>
      <w:r w:rsidRPr="003D105E">
        <w:rPr>
          <w:lang w:val="en-US"/>
        </w:rPr>
        <w:t xml:space="preserve">email </w:t>
      </w:r>
      <w:bookmarkEnd w:id="86"/>
      <w:r w:rsidRPr="003D105E">
        <w:rPr>
          <w:lang w:val="en-US"/>
        </w:rPr>
        <w:t xml:space="preserve">during normal business hours of the recipient, and if not sent during normal business hours, then on the recipient’s next business day, (iii) five days after having been sent by registered or certified mail, return receipt requested, postage prepaid, or (iv) one business day after deposit with a nationally recognized overnight courier, freight prepaid, specifying next business day delivery, with written verification of receipt. All communications shall be sent to the Purchasers at their mailing address or email address as set forth in </w:t>
      </w:r>
      <w:r w:rsidRPr="003D105E">
        <w:rPr>
          <w:u w:val="single"/>
          <w:lang w:val="en-US"/>
        </w:rPr>
        <w:t xml:space="preserve">Exhibit </w:t>
      </w:r>
      <w:r w:rsidR="003A55F0" w:rsidRPr="003A55F0">
        <w:rPr>
          <w:u w:val="single"/>
        </w:rPr>
        <w:fldChar w:fldCharType="begin"/>
      </w:r>
      <w:r w:rsidR="003A55F0" w:rsidRPr="003A55F0">
        <w:rPr>
          <w:u w:val="single"/>
          <w:lang w:val="en-US"/>
        </w:rPr>
        <w:instrText xml:space="preserve"> REF Ex_A \h </w:instrText>
      </w:r>
      <w:r w:rsidR="003A55F0" w:rsidRPr="003A55F0">
        <w:rPr>
          <w:u w:val="single"/>
        </w:rPr>
        <w:instrText xml:space="preserve"> \* MERGEFORMAT </w:instrText>
      </w:r>
      <w:r w:rsidR="003A55F0" w:rsidRPr="003A55F0">
        <w:rPr>
          <w:u w:val="single"/>
        </w:rPr>
      </w:r>
      <w:r w:rsidR="003A55F0" w:rsidRPr="003A55F0">
        <w:rPr>
          <w:u w:val="single"/>
        </w:rPr>
        <w:fldChar w:fldCharType="separate"/>
      </w:r>
      <w:r w:rsidR="006D67B9" w:rsidRPr="006D67B9">
        <w:rPr>
          <w:u w:val="single"/>
        </w:rPr>
        <w:t>A</w:t>
      </w:r>
      <w:r w:rsidR="003A55F0" w:rsidRPr="003A55F0">
        <w:rPr>
          <w:u w:val="single"/>
        </w:rPr>
        <w:fldChar w:fldCharType="end"/>
      </w:r>
      <w:r w:rsidRPr="003D105E">
        <w:rPr>
          <w:lang w:val="en-US"/>
        </w:rPr>
        <w:t xml:space="preserve">, or to such mailing address or email address as subsequently modified by written notice given in accordance with this </w:t>
      </w:r>
      <w:r w:rsidRPr="003D105E">
        <w:rPr>
          <w:u w:val="single"/>
          <w:lang w:val="en-US"/>
        </w:rPr>
        <w:t xml:space="preserve">Section </w:t>
      </w:r>
      <w:r w:rsidR="0048321D">
        <w:rPr>
          <w:u w:val="single"/>
          <w:lang w:val="en-US"/>
        </w:rPr>
        <w:fldChar w:fldCharType="begin"/>
      </w:r>
      <w:r w:rsidR="0048321D">
        <w:rPr>
          <w:u w:val="single"/>
          <w:lang w:val="en-US"/>
        </w:rPr>
        <w:instrText xml:space="preserve"> REF _Ref_ContractCompanion_9kb9Ur03D \n \h \t \* MERGEFORMAT </w:instrText>
      </w:r>
      <w:r w:rsidR="0048321D">
        <w:rPr>
          <w:u w:val="single"/>
          <w:lang w:val="en-US"/>
        </w:rPr>
      </w:r>
      <w:r w:rsidR="0048321D">
        <w:rPr>
          <w:u w:val="single"/>
          <w:lang w:val="en-US"/>
        </w:rPr>
        <w:fldChar w:fldCharType="separate"/>
      </w:r>
      <w:r w:rsidR="006D67B9">
        <w:rPr>
          <w:u w:val="single"/>
          <w:lang w:val="en-US"/>
        </w:rPr>
        <w:t>6.6</w:t>
      </w:r>
      <w:r w:rsidR="0048321D">
        <w:rPr>
          <w:u w:val="single"/>
          <w:lang w:val="en-US"/>
        </w:rPr>
        <w:fldChar w:fldCharType="end"/>
      </w:r>
      <w:r w:rsidRPr="003D105E">
        <w:rPr>
          <w:lang w:val="en-US"/>
        </w:rPr>
        <w:t xml:space="preserve">. If notice is given to the Company, it shall be sent to [Company address and </w:t>
      </w:r>
      <w:r w:rsidR="00D470A7" w:rsidRPr="003D105E">
        <w:rPr>
          <w:lang w:val="en-US"/>
        </w:rPr>
        <w:t xml:space="preserve">email </w:t>
      </w:r>
      <w:r w:rsidRPr="003D105E">
        <w:rPr>
          <w:lang w:val="en-US"/>
        </w:rPr>
        <w:t xml:space="preserve">address]; and a copy (which shall not constitute notice) shall also be sent to [name of Company counsel, address and </w:t>
      </w:r>
      <w:r w:rsidR="00D470A7" w:rsidRPr="003D105E">
        <w:rPr>
          <w:lang w:val="en-US"/>
        </w:rPr>
        <w:t xml:space="preserve">email </w:t>
      </w:r>
      <w:r w:rsidRPr="003D105E">
        <w:rPr>
          <w:lang w:val="en-US"/>
        </w:rPr>
        <w:t xml:space="preserve">address]. If notice is given to any Purchaser, a copy (which copy shall not constitute notice) shall also be sent to any “cc” address noted on </w:t>
      </w:r>
      <w:r w:rsidRPr="003D105E">
        <w:rPr>
          <w:u w:val="single"/>
          <w:lang w:val="en-US"/>
        </w:rPr>
        <w:t xml:space="preserve">Exhibit </w:t>
      </w:r>
      <w:r w:rsidR="003A55F0" w:rsidRPr="003A55F0">
        <w:rPr>
          <w:u w:val="single"/>
        </w:rPr>
        <w:fldChar w:fldCharType="begin"/>
      </w:r>
      <w:r w:rsidR="003A55F0" w:rsidRPr="003A55F0">
        <w:rPr>
          <w:u w:val="single"/>
          <w:lang w:val="en-US"/>
        </w:rPr>
        <w:instrText xml:space="preserve"> REF Ex_A \h </w:instrText>
      </w:r>
      <w:r w:rsidR="003A55F0" w:rsidRPr="003A55F0">
        <w:rPr>
          <w:u w:val="single"/>
        </w:rPr>
        <w:instrText xml:space="preserve"> \* MERGEFORMAT </w:instrText>
      </w:r>
      <w:r w:rsidR="003A55F0" w:rsidRPr="003A55F0">
        <w:rPr>
          <w:u w:val="single"/>
        </w:rPr>
      </w:r>
      <w:r w:rsidR="003A55F0" w:rsidRPr="003A55F0">
        <w:rPr>
          <w:u w:val="single"/>
        </w:rPr>
        <w:fldChar w:fldCharType="separate"/>
      </w:r>
      <w:r w:rsidR="006D67B9" w:rsidRPr="006D67B9">
        <w:rPr>
          <w:u w:val="single"/>
        </w:rPr>
        <w:t>A</w:t>
      </w:r>
      <w:r w:rsidR="003A55F0" w:rsidRPr="003A55F0">
        <w:rPr>
          <w:u w:val="single"/>
        </w:rPr>
        <w:fldChar w:fldCharType="end"/>
      </w:r>
      <w:r w:rsidRPr="003D105E">
        <w:rPr>
          <w:lang w:val="en-US"/>
        </w:rPr>
        <w:t xml:space="preserve"> for such Purchaser.</w:t>
      </w:r>
    </w:p>
    <w:p w14:paraId="14214F86" w14:textId="5215D6CA" w:rsidR="005216F1" w:rsidRPr="003D105E" w:rsidRDefault="00387E3C" w:rsidP="00DA2D7C">
      <w:pPr>
        <w:pStyle w:val="StandardL3"/>
        <w:rPr>
          <w:lang w:val="en-US"/>
        </w:rPr>
      </w:pPr>
      <w:r w:rsidRPr="003D105E">
        <w:rPr>
          <w:u w:val="single"/>
          <w:lang w:val="en-US"/>
        </w:rPr>
        <w:t>Consent to Electronic Notice</w:t>
      </w:r>
      <w:r w:rsidRPr="003D105E">
        <w:rPr>
          <w:lang w:val="en-US"/>
        </w:rPr>
        <w:t xml:space="preserve">. Each Purchaser consents to the delivery of any notice hereunder by </w:t>
      </w:r>
      <w:r w:rsidR="00D470A7">
        <w:t>email</w:t>
      </w:r>
      <w:r w:rsidR="00D470A7" w:rsidRPr="00D85E8F">
        <w:t xml:space="preserve"> </w:t>
      </w:r>
      <w:r w:rsidRPr="003D105E">
        <w:rPr>
          <w:lang w:val="en-US"/>
        </w:rPr>
        <w:t xml:space="preserve">at the </w:t>
      </w:r>
      <w:r w:rsidR="00D470A7">
        <w:t>email</w:t>
      </w:r>
      <w:r w:rsidR="00D470A7" w:rsidRPr="00D85E8F">
        <w:t xml:space="preserve"> </w:t>
      </w:r>
      <w:r w:rsidRPr="003D105E">
        <w:rPr>
          <w:lang w:val="en-US"/>
        </w:rPr>
        <w:t xml:space="preserve">address provided to the Company by the Purchaser, as updated from time to time by notice to the Company, or as on the books of the Company. To the extent that any notice given by means of </w:t>
      </w:r>
      <w:r w:rsidR="00D470A7" w:rsidRPr="003D105E">
        <w:rPr>
          <w:lang w:val="en-US"/>
        </w:rPr>
        <w:t xml:space="preserve">email </w:t>
      </w:r>
      <w:r w:rsidRPr="003D105E">
        <w:rPr>
          <w:lang w:val="en-US"/>
        </w:rPr>
        <w:t xml:space="preserve">is returned or undeliverable for any reason, the foregoing consent shall be deemed to have been revoked until a new or corrected </w:t>
      </w:r>
      <w:r w:rsidR="00D470A7" w:rsidRPr="003D105E">
        <w:rPr>
          <w:lang w:val="en-US"/>
        </w:rPr>
        <w:t xml:space="preserve">email </w:t>
      </w:r>
      <w:r w:rsidRPr="003D105E">
        <w:rPr>
          <w:lang w:val="en-US"/>
        </w:rPr>
        <w:t xml:space="preserve">address has been provided, and such attempted electronic notice shall be ineffective and deemed to not have been given. Each Purchaser agrees to promptly notify the Company of any change in its </w:t>
      </w:r>
      <w:r w:rsidR="00D470A7" w:rsidRPr="003D105E">
        <w:rPr>
          <w:lang w:val="en-US"/>
        </w:rPr>
        <w:t xml:space="preserve">email </w:t>
      </w:r>
      <w:r w:rsidRPr="003D105E">
        <w:rPr>
          <w:lang w:val="en-US"/>
        </w:rPr>
        <w:t>address, and that failure to do so shall not affect the foregoing.</w:t>
      </w:r>
    </w:p>
    <w:p w14:paraId="5CF47503" w14:textId="4269CD0E" w:rsidR="005216F1" w:rsidRPr="003D105E" w:rsidRDefault="00387E3C" w:rsidP="00DA2D7C">
      <w:pPr>
        <w:pStyle w:val="StandardL2"/>
        <w:rPr>
          <w:vanish/>
          <w:specVanish/>
        </w:rPr>
      </w:pPr>
      <w:bookmarkStart w:id="87" w:name="_Toc219945822"/>
      <w:r w:rsidRPr="003D105E">
        <w:t>No Finder’s Fees</w:t>
      </w:r>
      <w:bookmarkEnd w:id="87"/>
    </w:p>
    <w:p w14:paraId="2939C9CF" w14:textId="77777777" w:rsidR="005216F1" w:rsidRPr="003D105E" w:rsidRDefault="00387E3C" w:rsidP="00DA2D7C">
      <w:pPr>
        <w:pStyle w:val="OHHpara"/>
      </w:pPr>
      <w:r w:rsidRPr="003D105E">
        <w:t>.</w:t>
      </w:r>
      <w:r w:rsidRPr="003D105E">
        <w:rPr>
          <w:bCs/>
        </w:rPr>
        <w:t xml:space="preserve"> </w:t>
      </w:r>
      <w:r w:rsidRPr="003D105E">
        <w:t>Each party represents that it neither is nor will be obligated for any finder’s fee or commission in connection with this transaction. Each Purchaser agrees to indemnify and to hold harmless the Company from any liability for any commission or compensation in the nature of a finder’s or broker’s fee arising out of this transaction (and the costs and expenses of defending against such liability or asserted liability) for which each Purchaser or any of its officers, employees or representatives is responsible. The Company agrees to indemnify and hold harmless each Purchaser from any liability for any commission or compensation in the nature of a finder’s or broker’s fee arising out of this transaction (and the costs and expenses of defending against such liability or asserted liability) for which the Company or any of its officers, employees or representatives is responsible.</w:t>
      </w:r>
    </w:p>
    <w:p w14:paraId="28FFDC3F" w14:textId="6FEC7A4F" w:rsidR="005216F1" w:rsidRPr="003D105E" w:rsidRDefault="00387E3C" w:rsidP="00DA2D7C">
      <w:pPr>
        <w:pStyle w:val="StandardL2"/>
        <w:rPr>
          <w:vanish/>
          <w:specVanish/>
        </w:rPr>
      </w:pPr>
      <w:bookmarkStart w:id="88" w:name="_Toc219945823"/>
      <w:r w:rsidRPr="003D105E">
        <w:t>Fees and Expenses</w:t>
      </w:r>
      <w:bookmarkEnd w:id="88"/>
    </w:p>
    <w:p w14:paraId="7AB132C0" w14:textId="77777777" w:rsidR="005216F1" w:rsidRPr="003D105E" w:rsidRDefault="00387E3C" w:rsidP="00DA2D7C">
      <w:pPr>
        <w:pStyle w:val="OHHpara"/>
      </w:pPr>
      <w:r w:rsidRPr="003D105E">
        <w:t>. Within five business days after the later of (a) the receipt of a summary invoice therefor or (b) the Initial Closing, the Company shall pay the reasonable fees and expenses of [name of Lead Investor counsel], counsel for the Lead Investor, in an amount of up to [C/US]$</w:t>
      </w:r>
      <w:r w:rsidRPr="003D105E">
        <w:rPr>
          <w:rFonts w:ascii="Wingdings" w:eastAsia="Calibri" w:hAnsi="Wingdings"/>
        </w:rPr>
        <w:sym w:font="Wingdings" w:char="F06C"/>
      </w:r>
      <w:r w:rsidRPr="003D105E">
        <w:t>, plus applicable taxes, if any; provided, however, that notwithstanding the foregoing, [name of Lead Investor] may pay such amount directly to [name of Lead Investor counsel] at the Initial Closing and such amount shall be deducted from and credited against [name of Lead Investor]’s purchase price and deemed paid directly to the Company and then further remitted to [name of Lead Investor counsel].</w:t>
      </w:r>
    </w:p>
    <w:p w14:paraId="7AF4F618" w14:textId="5E1D1BF0" w:rsidR="005216F1" w:rsidRPr="003D105E" w:rsidRDefault="00387E3C" w:rsidP="00DA2D7C">
      <w:pPr>
        <w:pStyle w:val="StandardL2"/>
        <w:rPr>
          <w:vanish/>
          <w:specVanish/>
        </w:rPr>
      </w:pPr>
      <w:bookmarkStart w:id="89" w:name="_Toc219945824"/>
      <w:r w:rsidRPr="003D105E">
        <w:t>Costs of Enforcement</w:t>
      </w:r>
      <w:bookmarkEnd w:id="89"/>
    </w:p>
    <w:p w14:paraId="2291EAC9" w14:textId="77777777" w:rsidR="005216F1" w:rsidRPr="003D105E" w:rsidRDefault="00387E3C" w:rsidP="00DA2D7C">
      <w:pPr>
        <w:pStyle w:val="OHHpara"/>
      </w:pPr>
      <w:r w:rsidRPr="003D105E">
        <w:t>. The prevailing party shall be entitled to reasonable legal fees, costs, and necessary disbursements in addition to any other relief to which such party may be entitled</w:t>
      </w:r>
      <w:r w:rsidRPr="003D105E">
        <w:rPr>
          <w:bCs/>
        </w:rPr>
        <w:t>.</w:t>
      </w:r>
    </w:p>
    <w:p w14:paraId="52E8E26E" w14:textId="1DC5AE1E" w:rsidR="005216F1" w:rsidRPr="003D105E" w:rsidRDefault="00387E3C" w:rsidP="00DA2D7C">
      <w:pPr>
        <w:pStyle w:val="StandardL2"/>
        <w:rPr>
          <w:vanish/>
          <w:specVanish/>
        </w:rPr>
      </w:pPr>
      <w:bookmarkStart w:id="90" w:name="_Ref_ContractCompanion_9kb9Ur046"/>
      <w:bookmarkStart w:id="91" w:name="_Toc219945825"/>
      <w:r w:rsidRPr="003D105E">
        <w:t>Amendments and Waivers</w:t>
      </w:r>
      <w:bookmarkEnd w:id="90"/>
      <w:bookmarkEnd w:id="91"/>
    </w:p>
    <w:p w14:paraId="4B4385C1" w14:textId="2EFDB458" w:rsidR="005216F1" w:rsidRPr="003D105E" w:rsidRDefault="00387E3C" w:rsidP="00DA2D7C">
      <w:pPr>
        <w:pStyle w:val="OHHpara"/>
        <w:rPr>
          <w:lang w:val="en-US"/>
        </w:rPr>
      </w:pPr>
      <w:r w:rsidRPr="003D105E">
        <w:t>.</w:t>
      </w:r>
      <w:r w:rsidRPr="003D105E">
        <w:rPr>
          <w:bCs/>
        </w:rPr>
        <w:t xml:space="preserve"> Except as otherwise specifically set forth in this Agreement, </w:t>
      </w:r>
      <w:r w:rsidRPr="003D105E">
        <w:t>any term of this Agreement may be amended, terminated or waived only with the written consent of the Company and such Purchasers holding in aggregate, at the time of reference, at least a majority of the votes attached to the outstanding Series 3 Seed Preferred</w:t>
      </w:r>
      <w:r w:rsidRPr="003D105E">
        <w:rPr>
          <w:b/>
          <w:bCs/>
        </w:rPr>
        <w:t xml:space="preserve"> </w:t>
      </w:r>
      <w:r w:rsidRPr="003D105E">
        <w:t>Shares;</w:t>
      </w:r>
      <w:r w:rsidRPr="003D105E">
        <w:rPr>
          <w:u w:val="single"/>
          <w:lang w:val="en-US"/>
        </w:rPr>
        <w:t xml:space="preserve"> </w:t>
      </w:r>
      <w:r w:rsidRPr="003D105E">
        <w:rPr>
          <w:lang w:val="en-US"/>
        </w:rPr>
        <w:t xml:space="preserve">provided, however, that any provision of this Agreement may be waived by any waiving party on such party’s own behalf, without the consent of any other party. Notwithstanding the foregoing or anything herein to the contrary, no amendment, termination or waiver of any provision of this Agreement effected without the consent of a Purchaser shall be effective against such Purchaser unless such amendment, termination, or waiver applies to all Purchasers in the same fashion. Any amendment or waiver effected in accordance with this </w:t>
      </w:r>
      <w:r w:rsidRPr="003D105E">
        <w:rPr>
          <w:u w:val="single"/>
          <w:lang w:val="en-US"/>
        </w:rPr>
        <w:t xml:space="preserve">Section </w:t>
      </w:r>
      <w:r w:rsidR="0048321D">
        <w:rPr>
          <w:u w:val="single"/>
          <w:lang w:val="en-US"/>
        </w:rPr>
        <w:fldChar w:fldCharType="begin"/>
      </w:r>
      <w:r w:rsidR="0048321D">
        <w:rPr>
          <w:u w:val="single"/>
          <w:lang w:val="en-US"/>
        </w:rPr>
        <w:instrText xml:space="preserve"> REF _Ref_ContractCompanion_9kb9Ur046 \n \h \t \* MERGEFORMAT </w:instrText>
      </w:r>
      <w:r w:rsidR="0048321D">
        <w:rPr>
          <w:u w:val="single"/>
          <w:lang w:val="en-US"/>
        </w:rPr>
      </w:r>
      <w:r w:rsidR="0048321D">
        <w:rPr>
          <w:u w:val="single"/>
          <w:lang w:val="en-US"/>
        </w:rPr>
        <w:fldChar w:fldCharType="separate"/>
      </w:r>
      <w:r w:rsidR="006D67B9">
        <w:rPr>
          <w:u w:val="single"/>
          <w:lang w:val="en-US"/>
        </w:rPr>
        <w:t>6.10</w:t>
      </w:r>
      <w:r w:rsidR="0048321D">
        <w:rPr>
          <w:u w:val="single"/>
          <w:lang w:val="en-US"/>
        </w:rPr>
        <w:fldChar w:fldCharType="end"/>
      </w:r>
      <w:r w:rsidRPr="003D105E">
        <w:rPr>
          <w:lang w:val="en-US"/>
        </w:rPr>
        <w:t xml:space="preserve"> shall be binding upon the Purchasers and each transferee of the Shares (or the Voting Common Shares issuable upon conversion thereof), each future holder of all such securities, and the Company.</w:t>
      </w:r>
    </w:p>
    <w:p w14:paraId="786F1740" w14:textId="43B565E7" w:rsidR="005216F1" w:rsidRPr="003D105E" w:rsidRDefault="00387E3C" w:rsidP="00DA2D7C">
      <w:pPr>
        <w:pStyle w:val="StandardL2"/>
        <w:rPr>
          <w:vanish/>
          <w:specVanish/>
        </w:rPr>
      </w:pPr>
      <w:bookmarkStart w:id="92" w:name="_Toc219945826"/>
      <w:r w:rsidRPr="003D105E">
        <w:t>Severability</w:t>
      </w:r>
      <w:bookmarkEnd w:id="92"/>
    </w:p>
    <w:p w14:paraId="58DBDFCB" w14:textId="77777777" w:rsidR="005216F1" w:rsidRPr="003D105E" w:rsidRDefault="00387E3C" w:rsidP="00DA2D7C">
      <w:pPr>
        <w:pStyle w:val="OHHpara"/>
      </w:pPr>
      <w:r w:rsidRPr="003D105E">
        <w:t>. The invalidity or unenforceability of any provision hereof shall in no way affect the validity or enforceability of any other provision.</w:t>
      </w:r>
    </w:p>
    <w:p w14:paraId="06255E2B" w14:textId="211320D1" w:rsidR="005216F1" w:rsidRPr="003D105E" w:rsidRDefault="00387E3C" w:rsidP="00DA2D7C">
      <w:pPr>
        <w:pStyle w:val="StandardL2"/>
        <w:rPr>
          <w:vanish/>
          <w:specVanish/>
        </w:rPr>
      </w:pPr>
      <w:bookmarkStart w:id="93" w:name="_Toc219945827"/>
      <w:r w:rsidRPr="003D105E">
        <w:t>Delays or Omissions</w:t>
      </w:r>
      <w:bookmarkEnd w:id="93"/>
    </w:p>
    <w:p w14:paraId="629A4EEB" w14:textId="77777777" w:rsidR="005216F1" w:rsidRPr="003D105E" w:rsidRDefault="00387E3C" w:rsidP="00DA2D7C">
      <w:pPr>
        <w:pStyle w:val="OHHpara"/>
      </w:pPr>
      <w:r w:rsidRPr="003D105E">
        <w:t>. No delay or omission to exercise any right, power or remedy accruing to any party under this Agreement, upon any breach or default of any other party under this Agreement, shall impair any such right, power or remedy of such non-breaching or non-defaulting party nor shall it be construed to be a waiver of any such breach or default, or an acquiescence therein, or of any similar breach or default thereafter occurring; nor shall any waiver of any single breach or default be deemed a waiver of any other breach or default previously or thereafter occurring. Any waiver, permit, consent or approval of any kind or character on the part of any party of any breach or default under this Agreement, or any waiver on the part of any party of any provisions or conditions of this Agreement, must be in writing and shall be effective only to the extent specifically set forth in such writing. All remedies, either under this Agreement or by law or otherwise afforded to any party, shall be cumulative and not alternative.</w:t>
      </w:r>
    </w:p>
    <w:p w14:paraId="54D26928" w14:textId="75DEB9DB" w:rsidR="005216F1" w:rsidRPr="003D105E" w:rsidRDefault="00387E3C" w:rsidP="00DA2D7C">
      <w:pPr>
        <w:pStyle w:val="StandardL2"/>
        <w:rPr>
          <w:vanish/>
          <w:specVanish/>
        </w:rPr>
      </w:pPr>
      <w:bookmarkStart w:id="94" w:name="_Toc219945828"/>
      <w:r w:rsidRPr="003D105E">
        <w:t>Entire Agreement</w:t>
      </w:r>
      <w:bookmarkEnd w:id="94"/>
    </w:p>
    <w:p w14:paraId="271910EE" w14:textId="77777777" w:rsidR="005216F1" w:rsidRPr="003D105E" w:rsidRDefault="00387E3C" w:rsidP="00DA2D7C">
      <w:pPr>
        <w:pStyle w:val="OHHpara"/>
      </w:pPr>
      <w:r w:rsidRPr="003D105E">
        <w:t>.</w:t>
      </w:r>
      <w:r w:rsidRPr="003D105E">
        <w:rPr>
          <w:bCs/>
        </w:rPr>
        <w:t xml:space="preserve"> </w:t>
      </w:r>
      <w:r w:rsidRPr="003D105E">
        <w:t xml:space="preserve">This Agreement (including the exhibits hereto), the Articles of Amendment and the other Transaction Agreements, all as may be amended, modified, restated or replaced from time to time, constitute the full and entire understanding and agreement among the parties with respect to the subject matter hereof, and any other written or oral agreements relating to the subject matter hereof existing between or among any of the parties are expressly cancelled, including, for greater certainty, the term sheet dated </w:t>
      </w:r>
      <w:r w:rsidRPr="003D105E">
        <w:rPr>
          <w:rFonts w:ascii="Wingdings" w:eastAsia="Calibri" w:hAnsi="Wingdings"/>
        </w:rPr>
        <w:sym w:font="Wingdings" w:char="F06C"/>
      </w:r>
      <w:r w:rsidRPr="003D105E">
        <w:t xml:space="preserve"> between the Company and the Lead Investor.</w:t>
      </w:r>
    </w:p>
    <w:p w14:paraId="07AB356F" w14:textId="7C8CEEC8" w:rsidR="005216F1" w:rsidRPr="003D105E" w:rsidRDefault="00387E3C" w:rsidP="00DA2D7C">
      <w:pPr>
        <w:pStyle w:val="StandardL2"/>
        <w:rPr>
          <w:vanish/>
          <w:specVanish/>
        </w:rPr>
      </w:pPr>
      <w:bookmarkStart w:id="95" w:name="_Toc219945829"/>
      <w:r w:rsidRPr="003D105E">
        <w:t>Dispute Resolution</w:t>
      </w:r>
      <w:bookmarkEnd w:id="95"/>
    </w:p>
    <w:p w14:paraId="4E2D94ED" w14:textId="77777777" w:rsidR="005216F1" w:rsidRPr="003D105E" w:rsidRDefault="00387E3C" w:rsidP="00DA2D7C">
      <w:pPr>
        <w:pStyle w:val="OHHpara"/>
      </w:pPr>
      <w:r w:rsidRPr="003D105E">
        <w:t>. The parties (a) irrevocably and unconditionally submit to the exclusive jurisdiction of the courts of the Province of [Province] for the purpose of any suit, action or other proceeding arising out of or based upon this Agreement, (b) agree not to commence any suit, action or other proceeding arising out of or based upon this Agreement except in the courts of the Province of [Province], and (c) waive, and agree not to assert, by way of motion, as a defence, or otherwise, in any such suit, action or proceeding, any claim that it is not subject personally to the jurisdiction of the above-named courts, that its property is exempt or immune from attachment or execution, that the suit, action or proceeding is brought in an inconvenient forum, that the venue of the suit, action or proceeding is improper or that this Agreement or the subject matter hereof may not be enforced in or by such court.</w:t>
      </w:r>
    </w:p>
    <w:p w14:paraId="45B72B61" w14:textId="45B161F9" w:rsidR="005216F1" w:rsidRPr="003D105E" w:rsidRDefault="00387E3C" w:rsidP="00DA2D7C">
      <w:pPr>
        <w:pStyle w:val="StandardL2"/>
        <w:rPr>
          <w:vanish/>
          <w:specVanish/>
        </w:rPr>
      </w:pPr>
      <w:bookmarkStart w:id="96" w:name="_Toc219945830"/>
      <w:r w:rsidRPr="003D105E">
        <w:t>WAIVER OF JURY TRIAL</w:t>
      </w:r>
      <w:bookmarkEnd w:id="96"/>
    </w:p>
    <w:p w14:paraId="1F07F591" w14:textId="77777777" w:rsidR="005216F1" w:rsidRPr="003D105E" w:rsidRDefault="00387E3C" w:rsidP="00DA2D7C">
      <w:pPr>
        <w:pStyle w:val="OHHpara"/>
      </w:pPr>
      <w:r w:rsidRPr="003D105E">
        <w:t>. EACH PARTY WAIVES ITS RIGHTS TO A JURY TRIAL OF ANY CLAIM OR CAUSE OF ACTION BASED UPON OR ARISING OUT OF THIS AGREEMENT, THE OTHER TRANSACTION AGREEMENTS, THE SECURITIES OR THE SUBJECT MATTER HEREOF OR THEREOF. THE SCOPE OF THIS WAIVER IS INTENDED TO BE ALL-ENCOMPASSING OF ANY AND ALL DISPUTES THAT MAY BE FILED IN ANY COURT AND THAT RELATE TO THE SUBJECT MATTER OF THIS TRANSACTION, INCLUDING CONTRACT CLAIMS, TORT CLAIMS (INCLUDING NEGLIGENCE), BREACH OF DUTY CLAIMS, AND ALL OTHER COMMON LAW AND STATUTORY CLAIMS. THIS SECTION HAS BEEN FULLY DISCUSSED BY EACH OF THE PARTIES HERETO AND THESE PROVISIONS WILL NOT BE SUBJECT TO ANY EXCEPTIONS. EACH PARTY HERETO FURTHER WARRANTS AND REPRESENTS THAT SUCH PARTY HAS REVIEWED THIS WAIVER WITH ITS LEGAL COUNSEL, AND THAT SUCH PARTY KNOWINGLY AND VOLUNTARILY WAIVES ITS JURY TRIAL RIGHTS FOLLOWING CONSULTATION WITH LEGAL COUNSEL.</w:t>
      </w:r>
    </w:p>
    <w:p w14:paraId="0F64808A" w14:textId="410855EA" w:rsidR="005216F1" w:rsidRPr="003D105E" w:rsidRDefault="00387E3C" w:rsidP="00DA2D7C">
      <w:pPr>
        <w:pStyle w:val="StandardL2"/>
        <w:rPr>
          <w:vanish/>
          <w:specVanish/>
        </w:rPr>
      </w:pPr>
      <w:bookmarkStart w:id="97" w:name="_Toc219945831"/>
      <w:r w:rsidRPr="003D105E">
        <w:t>Waiver of Conflicts</w:t>
      </w:r>
      <w:bookmarkEnd w:id="97"/>
    </w:p>
    <w:p w14:paraId="1DA3DED7" w14:textId="77777777" w:rsidR="005216F1" w:rsidRPr="003D105E" w:rsidRDefault="00387E3C" w:rsidP="00DA2D7C">
      <w:pPr>
        <w:pStyle w:val="OHHpara"/>
      </w:pPr>
      <w:r w:rsidRPr="003D105E">
        <w:t>.</w:t>
      </w:r>
      <w:r w:rsidRPr="003D105E">
        <w:rPr>
          <w:bCs/>
        </w:rPr>
        <w:t xml:space="preserve"> </w:t>
      </w:r>
      <w:r w:rsidRPr="003D105E">
        <w:t>Each party to this Agreement acknowledges that [name of Company counsel], counsel for the Company, may have in the past performed and may continue to or in the future perform, legal services for certain of the Purchasers in matters that are similar to but not substantially related to the transactions described in this Agreement, including the representation of such Purchasers in venture capital financings and other matters. Accordingly, each party to this Agreement (a) acknowledges that they have had an opportunity to ask for information relevant to this disclosure; and (b) gives its informed consent to [name of Company counsel]’s existing and/or future representation of certain of the Purchasers in matters not substantially related to this Agreement and to [name of Company counsel]’s representation of the Company in connection with this Agreement and the transactions it contemplates.</w:t>
      </w:r>
    </w:p>
    <w:p w14:paraId="32A89421" w14:textId="77D4BE48" w:rsidR="005216F1" w:rsidRPr="003D105E" w:rsidRDefault="00387E3C" w:rsidP="00DA2D7C">
      <w:pPr>
        <w:pStyle w:val="StandardL2"/>
        <w:rPr>
          <w:vanish/>
          <w:specVanish/>
        </w:rPr>
      </w:pPr>
      <w:bookmarkStart w:id="98" w:name="_Toc219945832"/>
      <w:r w:rsidRPr="003D105E">
        <w:t>Disclosed Personal Information</w:t>
      </w:r>
      <w:bookmarkEnd w:id="98"/>
    </w:p>
    <w:p w14:paraId="08478E68" w14:textId="77777777" w:rsidR="005216F1" w:rsidRPr="003D105E" w:rsidRDefault="00387E3C" w:rsidP="00DA2D7C">
      <w:pPr>
        <w:pStyle w:val="OHHpara"/>
      </w:pPr>
      <w:r w:rsidRPr="003D105E">
        <w:t>.</w:t>
      </w:r>
      <w:r w:rsidRPr="003D105E">
        <w:rPr>
          <w:bCs/>
        </w:rPr>
        <w:t xml:space="preserve"> </w:t>
      </w:r>
      <w:r w:rsidRPr="003D105E">
        <w:t>The parties confirm that the Personal Information subject to Canadian Privacy Laws disclosed in connection with this Agreement (the “</w:t>
      </w:r>
      <w:r w:rsidRPr="003D105E">
        <w:rPr>
          <w:b/>
          <w:bCs/>
        </w:rPr>
        <w:t>Disclosed Canadian Personal Information</w:t>
      </w:r>
      <w:r w:rsidRPr="003D105E">
        <w:t>”) is necessary for the Purchasers to determine whether to proceed with the transactions contemplated by this Agreement and, if the determination is made to proceed with the transactions, to complete them. Each Purchaser shall: (a) not use any Disclosed Canadian Personal Information except as required to (i) determine whether to proceed with the transactions contemplated by this Agreement, (ii) perform its obligations under this Agreement, or (iii) consummate the transactions contemplated by this Agreement; (b) not disclose any Disclosed Canadian Personal Information for any purpose; (c) protect all Disclosed Canadian Personal Information using security safeguards appropriate to the sensitivity of the information; and (d) within a reasonable period following either (i) the consummation of the transactions contemplated by this Agreement or (ii) a decision by either the Company or such Purchaser not to proceed with the transactions contemplated by this Agreement, destroy or return to the Company all Disclosed Canadian Personal Information.</w:t>
      </w:r>
    </w:p>
    <w:p w14:paraId="3C2EEC25" w14:textId="3794CCEA" w:rsidR="005216F1" w:rsidRPr="003D105E" w:rsidRDefault="00387E3C" w:rsidP="00DA2D7C">
      <w:pPr>
        <w:pStyle w:val="StandardL2"/>
        <w:rPr>
          <w:vanish/>
          <w:specVanish/>
        </w:rPr>
      </w:pPr>
      <w:bookmarkStart w:id="99" w:name="_Toc219945833"/>
      <w:r w:rsidRPr="003D105E">
        <w:t>Currency</w:t>
      </w:r>
      <w:bookmarkEnd w:id="99"/>
    </w:p>
    <w:p w14:paraId="6F262267" w14:textId="77777777" w:rsidR="005216F1" w:rsidRPr="003D105E" w:rsidRDefault="00387E3C" w:rsidP="00DA2D7C">
      <w:pPr>
        <w:pStyle w:val="OHHpara"/>
      </w:pPr>
      <w:r w:rsidRPr="003D105E">
        <w:t>. Unless otherwise specified, all reference to money amounts are in [Canadian/United States] dollars.</w:t>
      </w:r>
    </w:p>
    <w:p w14:paraId="2502B6E4" w14:textId="6285F11E" w:rsidR="005216F1" w:rsidRPr="003D105E" w:rsidRDefault="00387E3C" w:rsidP="00DA2D7C">
      <w:pPr>
        <w:pStyle w:val="StandardL2"/>
        <w:rPr>
          <w:b/>
          <w:vanish/>
          <w:specVanish/>
        </w:rPr>
      </w:pPr>
      <w:bookmarkStart w:id="100" w:name="_Toc219945834"/>
      <w:r w:rsidRPr="003D105E">
        <w:t>Independent Legal Advice</w:t>
      </w:r>
      <w:bookmarkEnd w:id="100"/>
    </w:p>
    <w:p w14:paraId="742F0AD6" w14:textId="77777777" w:rsidR="005216F1" w:rsidRPr="003D105E" w:rsidRDefault="00387E3C" w:rsidP="00DA2D7C">
      <w:pPr>
        <w:pStyle w:val="OHHpara"/>
      </w:pPr>
      <w:r w:rsidRPr="003D105E">
        <w:t>. The parties acknowledge that they have entered into this Agreement willingly with full knowledge of the obligations imposed by the terms of this Agreement. The parties further acknowledge that they have been afforded the opportunity to obtain independent legal advice and confirm by the execution of this Agreement that they have either done so or waived their right to do so, and agree that this Agreement constitutes a binding legal obligation and that they are estopped from raising any claim on the basis that they have not obtained such advice.</w:t>
      </w:r>
    </w:p>
    <w:p w14:paraId="4BBFB4EB" w14:textId="477FEA02" w:rsidR="005216F1" w:rsidRPr="003D105E" w:rsidRDefault="00387E3C" w:rsidP="00DA2D7C">
      <w:pPr>
        <w:pStyle w:val="StandardL2"/>
        <w:rPr>
          <w:vanish/>
          <w:specVanish/>
        </w:rPr>
      </w:pPr>
      <w:bookmarkStart w:id="101" w:name="_Toc219945835"/>
      <w:r w:rsidRPr="003D105E">
        <w:t>No Strict Construction</w:t>
      </w:r>
      <w:bookmarkEnd w:id="101"/>
    </w:p>
    <w:p w14:paraId="148C7AE8" w14:textId="77777777" w:rsidR="005216F1" w:rsidRPr="003D105E" w:rsidRDefault="00387E3C" w:rsidP="00DA2D7C">
      <w:pPr>
        <w:pStyle w:val="OHHpara"/>
      </w:pPr>
      <w:r w:rsidRPr="003D105E">
        <w:t>. The language used in this Agreement is the language chosen by the parties to express their mutual intent, and no rule of strict construction shall be applied against any party.</w:t>
      </w:r>
    </w:p>
    <w:p w14:paraId="6C53E075" w14:textId="11412DF7" w:rsidR="005216F1" w:rsidRPr="003D105E" w:rsidRDefault="00387E3C" w:rsidP="00DA2D7C">
      <w:pPr>
        <w:pStyle w:val="StandardL2"/>
        <w:rPr>
          <w:vanish/>
          <w:specVanish/>
        </w:rPr>
      </w:pPr>
      <w:bookmarkStart w:id="102" w:name="_Toc219945836"/>
      <w:r w:rsidRPr="003D105E">
        <w:t>Number and Gender</w:t>
      </w:r>
      <w:bookmarkEnd w:id="102"/>
    </w:p>
    <w:p w14:paraId="68D6E1F6" w14:textId="77777777" w:rsidR="005216F1" w:rsidRPr="003D105E" w:rsidRDefault="00387E3C" w:rsidP="00DA2D7C">
      <w:pPr>
        <w:pStyle w:val="OHHpara"/>
      </w:pPr>
      <w:r w:rsidRPr="003D105E">
        <w:t>. Unless the context otherwise requires, words importing the singular include the plural and vice versa and words importing gender include all genders.</w:t>
      </w:r>
    </w:p>
    <w:p w14:paraId="16A78525" w14:textId="0C8D0B0A" w:rsidR="005216F1" w:rsidRPr="003D105E" w:rsidRDefault="00387E3C" w:rsidP="00DA2D7C">
      <w:pPr>
        <w:pStyle w:val="StandardL2"/>
        <w:rPr>
          <w:vanish/>
          <w:specVanish/>
        </w:rPr>
      </w:pPr>
      <w:bookmarkStart w:id="103" w:name="_Toc219945837"/>
      <w:r w:rsidRPr="003D105E">
        <w:t>Statutory References</w:t>
      </w:r>
      <w:bookmarkEnd w:id="103"/>
    </w:p>
    <w:p w14:paraId="33AB89B3" w14:textId="77777777" w:rsidR="005216F1" w:rsidRPr="003D105E" w:rsidRDefault="00387E3C" w:rsidP="00DA2D7C">
      <w:pPr>
        <w:pStyle w:val="OHHpara"/>
      </w:pPr>
      <w:r w:rsidRPr="003D105E">
        <w:t>. A reference to a statute includes all regulations made pursuant to such statute and, unless otherwise specified, the provisions of any statute or regulation which amends, supplements or supersedes any such statute or any such regulation.</w:t>
      </w:r>
    </w:p>
    <w:p w14:paraId="56CE66C7" w14:textId="19ED3BDA" w:rsidR="005216F1" w:rsidRPr="003D105E" w:rsidRDefault="00387E3C" w:rsidP="00DA2D7C">
      <w:pPr>
        <w:pStyle w:val="StandardL2"/>
        <w:rPr>
          <w:vanish/>
          <w:specVanish/>
        </w:rPr>
      </w:pPr>
      <w:bookmarkStart w:id="104" w:name="_Toc219945838"/>
      <w:r w:rsidRPr="003D105E">
        <w:t>[Language]</w:t>
      </w:r>
      <w:bookmarkEnd w:id="104"/>
    </w:p>
    <w:p w14:paraId="4749B676" w14:textId="77777777" w:rsidR="005216F1" w:rsidRPr="003D105E" w:rsidRDefault="00387E3C" w:rsidP="00DA2D7C">
      <w:pPr>
        <w:pStyle w:val="OHHpara"/>
        <w:rPr>
          <w:lang w:val="fr-FR"/>
        </w:rPr>
      </w:pPr>
      <w:r w:rsidRPr="003D105E">
        <w:t xml:space="preserve">. The parties hereto confirm that it is their wish that this Agreement, as well as any other documents relating to this Agreement, including notices, schedules and authorizations have been and shall be drawn up in the English language only. </w:t>
      </w:r>
      <w:r w:rsidRPr="003D105E">
        <w:rPr>
          <w:i/>
          <w:iCs/>
          <w:lang w:val="fr-FR"/>
        </w:rPr>
        <w:t>Les signataires confirment leur volonté que la présente convention, de même que tous les documents s’y rattachant, y compris tout avis, annexe et autorisation, soient rédigés en anglais seulement</w:t>
      </w:r>
      <w:r w:rsidRPr="003D105E">
        <w:rPr>
          <w:lang w:val="fr-FR"/>
        </w:rPr>
        <w:t>.]</w:t>
      </w:r>
    </w:p>
    <w:p w14:paraId="71E9A25C" w14:textId="77777777" w:rsidR="000C5A46" w:rsidRDefault="00387E3C" w:rsidP="00DA2D7C">
      <w:pPr>
        <w:pStyle w:val="OHHCentre"/>
        <w:rPr>
          <w:b/>
          <w:bCs/>
        </w:rPr>
      </w:pPr>
      <w:r w:rsidRPr="00DA2D7C">
        <w:rPr>
          <w:b/>
          <w:bCs/>
        </w:rPr>
        <w:t>[</w:t>
      </w:r>
      <w:r w:rsidRPr="00DA2D7C">
        <w:rPr>
          <w:b/>
          <w:bCs/>
          <w:i/>
          <w:iCs/>
        </w:rPr>
        <w:t>Signature pages follow</w:t>
      </w:r>
      <w:r w:rsidRPr="00DA2D7C">
        <w:rPr>
          <w:b/>
          <w:bCs/>
        </w:rPr>
        <w:t>]</w:t>
      </w:r>
    </w:p>
    <w:p w14:paraId="247044B2" w14:textId="77777777" w:rsidR="00994BDE" w:rsidRDefault="00994BDE" w:rsidP="00994BDE">
      <w:pPr>
        <w:pStyle w:val="OHHpara"/>
        <w:sectPr w:rsidR="00994BDE">
          <w:headerReference w:type="even" r:id="rId9"/>
          <w:headerReference w:type="default" r:id="rId10"/>
          <w:footerReference w:type="first" r:id="rId11"/>
          <w:pgSz w:w="12240" w:h="15840"/>
          <w:pgMar w:top="1440" w:right="1440" w:bottom="1008" w:left="1440" w:header="706" w:footer="706" w:gutter="0"/>
          <w:cols w:space="720"/>
          <w:titlePg/>
          <w:docGrid w:linePitch="360"/>
        </w:sectPr>
      </w:pPr>
    </w:p>
    <w:p w14:paraId="5BFC854E" w14:textId="77777777" w:rsidR="00DA2D7C" w:rsidRPr="003D105E" w:rsidRDefault="00387E3C" w:rsidP="00994BDE">
      <w:pPr>
        <w:pStyle w:val="OHHTab"/>
      </w:pPr>
      <w:r w:rsidRPr="003D105E">
        <w:rPr>
          <w:b/>
          <w:bCs/>
        </w:rPr>
        <w:t>IN WITNESS WHEREOF</w:t>
      </w:r>
      <w:r w:rsidRPr="003D105E">
        <w:t>, the parties have executed this Series Seed Share Purchase Agreement as of the date first written above.</w:t>
      </w:r>
    </w:p>
    <w:p w14:paraId="0192DB1B" w14:textId="77777777" w:rsidR="00DA2D7C" w:rsidRDefault="00387E3C" w:rsidP="00994BDE">
      <w:pPr>
        <w:pStyle w:val="OHHpara"/>
      </w:pPr>
      <w:r w:rsidRPr="003D105E">
        <w:t>COMPANY:</w:t>
      </w:r>
    </w:p>
    <w:tbl>
      <w:tblPr>
        <w:tblW w:w="0" w:type="auto"/>
        <w:tblInd w:w="-115" w:type="dxa"/>
        <w:tblLayout w:type="fixed"/>
        <w:tblLook w:val="0000" w:firstRow="0" w:lastRow="0" w:firstColumn="0" w:lastColumn="0" w:noHBand="0" w:noVBand="0"/>
      </w:tblPr>
      <w:tblGrid>
        <w:gridCol w:w="4248"/>
        <w:gridCol w:w="450"/>
        <w:gridCol w:w="630"/>
        <w:gridCol w:w="4230"/>
      </w:tblGrid>
      <w:tr w:rsidR="00B65979" w14:paraId="237F519F" w14:textId="77777777" w:rsidTr="009030BB">
        <w:trPr>
          <w:cantSplit/>
        </w:trPr>
        <w:tc>
          <w:tcPr>
            <w:tcW w:w="4248" w:type="dxa"/>
            <w:vMerge w:val="restart"/>
          </w:tcPr>
          <w:p w14:paraId="4218D3AD" w14:textId="77777777" w:rsidR="003A55F0" w:rsidRPr="003A55F0" w:rsidRDefault="003A55F0" w:rsidP="003A55F0"/>
        </w:tc>
        <w:tc>
          <w:tcPr>
            <w:tcW w:w="450" w:type="dxa"/>
            <w:vMerge w:val="restart"/>
          </w:tcPr>
          <w:p w14:paraId="4D7D6465" w14:textId="77777777" w:rsidR="003A55F0" w:rsidRPr="003A55F0" w:rsidRDefault="003A55F0" w:rsidP="003A55F0"/>
        </w:tc>
        <w:tc>
          <w:tcPr>
            <w:tcW w:w="4860" w:type="dxa"/>
            <w:gridSpan w:val="2"/>
            <w:tcBorders>
              <w:bottom w:val="nil"/>
            </w:tcBorders>
          </w:tcPr>
          <w:p w14:paraId="5E815AA5" w14:textId="77777777" w:rsidR="003A55F0" w:rsidRPr="003A55F0" w:rsidRDefault="00387E3C" w:rsidP="003A55F0">
            <w:pPr>
              <w:rPr>
                <w:szCs w:val="24"/>
              </w:rPr>
            </w:pPr>
            <w:r w:rsidRPr="003A55F0">
              <w:rPr>
                <w:b/>
                <w:bCs/>
                <w:szCs w:val="24"/>
              </w:rPr>
              <w:t>[COMPANY NAME]</w:t>
            </w:r>
          </w:p>
        </w:tc>
      </w:tr>
      <w:tr w:rsidR="00B65979" w14:paraId="167BBA62" w14:textId="77777777" w:rsidTr="009030BB">
        <w:trPr>
          <w:cantSplit/>
          <w:trHeight w:val="864"/>
        </w:trPr>
        <w:tc>
          <w:tcPr>
            <w:tcW w:w="4248" w:type="dxa"/>
            <w:vMerge/>
          </w:tcPr>
          <w:p w14:paraId="666B06E5" w14:textId="77777777" w:rsidR="003A55F0" w:rsidRPr="003A55F0" w:rsidRDefault="003A55F0" w:rsidP="003A55F0"/>
        </w:tc>
        <w:tc>
          <w:tcPr>
            <w:tcW w:w="450" w:type="dxa"/>
            <w:vMerge/>
          </w:tcPr>
          <w:p w14:paraId="32F459A2" w14:textId="77777777" w:rsidR="003A55F0" w:rsidRPr="003A55F0" w:rsidRDefault="003A55F0" w:rsidP="003A55F0"/>
        </w:tc>
        <w:tc>
          <w:tcPr>
            <w:tcW w:w="630" w:type="dxa"/>
            <w:vAlign w:val="bottom"/>
          </w:tcPr>
          <w:p w14:paraId="631F588B" w14:textId="77777777" w:rsidR="003A55F0" w:rsidRPr="003A55F0" w:rsidRDefault="00387E3C" w:rsidP="003A55F0">
            <w:pPr>
              <w:jc w:val="right"/>
            </w:pPr>
            <w:r w:rsidRPr="003A55F0">
              <w:t>By:</w:t>
            </w:r>
          </w:p>
        </w:tc>
        <w:tc>
          <w:tcPr>
            <w:tcW w:w="4230" w:type="dxa"/>
            <w:tcBorders>
              <w:bottom w:val="single" w:sz="4" w:space="0" w:color="auto"/>
            </w:tcBorders>
            <w:vAlign w:val="bottom"/>
          </w:tcPr>
          <w:p w14:paraId="4494AB48" w14:textId="77777777" w:rsidR="003A55F0" w:rsidRPr="003A55F0" w:rsidRDefault="003A55F0" w:rsidP="003A55F0"/>
        </w:tc>
      </w:tr>
      <w:tr w:rsidR="00B65979" w14:paraId="5384B0D6" w14:textId="77777777" w:rsidTr="009030BB">
        <w:trPr>
          <w:cantSplit/>
          <w:trHeight w:val="174"/>
        </w:trPr>
        <w:tc>
          <w:tcPr>
            <w:tcW w:w="4248" w:type="dxa"/>
            <w:vMerge/>
          </w:tcPr>
          <w:p w14:paraId="23A9F12F" w14:textId="77777777" w:rsidR="003A55F0" w:rsidRPr="003A55F0" w:rsidRDefault="003A55F0" w:rsidP="003A55F0"/>
        </w:tc>
        <w:tc>
          <w:tcPr>
            <w:tcW w:w="450" w:type="dxa"/>
            <w:vMerge/>
          </w:tcPr>
          <w:p w14:paraId="499658AA" w14:textId="77777777" w:rsidR="003A55F0" w:rsidRPr="003A55F0" w:rsidRDefault="003A55F0" w:rsidP="003A55F0"/>
        </w:tc>
        <w:tc>
          <w:tcPr>
            <w:tcW w:w="630" w:type="dxa"/>
          </w:tcPr>
          <w:p w14:paraId="27D43B44" w14:textId="77777777" w:rsidR="003A55F0" w:rsidRPr="003A55F0" w:rsidRDefault="003A55F0" w:rsidP="003A55F0"/>
        </w:tc>
        <w:tc>
          <w:tcPr>
            <w:tcW w:w="4230" w:type="dxa"/>
          </w:tcPr>
          <w:p w14:paraId="13F25A73" w14:textId="77777777" w:rsidR="003A55F0" w:rsidRPr="003A55F0" w:rsidRDefault="00387E3C" w:rsidP="003A55F0">
            <w:pPr>
              <w:rPr>
                <w:szCs w:val="24"/>
              </w:rPr>
            </w:pPr>
            <w:r w:rsidRPr="003A55F0">
              <w:t xml:space="preserve">Name: </w:t>
            </w:r>
            <w:r w:rsidRPr="003A55F0">
              <w:rPr>
                <w:rFonts w:ascii="Wingdings" w:hAnsi="Wingdings"/>
                <w:szCs w:val="24"/>
              </w:rPr>
              <w:sym w:font="Wingdings" w:char="F06C"/>
            </w:r>
          </w:p>
        </w:tc>
      </w:tr>
      <w:tr w:rsidR="00B65979" w14:paraId="03D56DBA" w14:textId="77777777" w:rsidTr="009030BB">
        <w:trPr>
          <w:cantSplit/>
          <w:trHeight w:hRule="exact" w:val="360"/>
        </w:trPr>
        <w:tc>
          <w:tcPr>
            <w:tcW w:w="4248" w:type="dxa"/>
            <w:vMerge/>
          </w:tcPr>
          <w:p w14:paraId="2480F163" w14:textId="77777777" w:rsidR="003A55F0" w:rsidRPr="003A55F0" w:rsidRDefault="003A55F0" w:rsidP="003A55F0"/>
        </w:tc>
        <w:tc>
          <w:tcPr>
            <w:tcW w:w="450" w:type="dxa"/>
            <w:vMerge/>
          </w:tcPr>
          <w:p w14:paraId="01B92F2C" w14:textId="77777777" w:rsidR="003A55F0" w:rsidRPr="003A55F0" w:rsidRDefault="003A55F0" w:rsidP="003A55F0"/>
        </w:tc>
        <w:tc>
          <w:tcPr>
            <w:tcW w:w="630" w:type="dxa"/>
          </w:tcPr>
          <w:p w14:paraId="3853540C" w14:textId="77777777" w:rsidR="003A55F0" w:rsidRPr="003A55F0" w:rsidRDefault="003A55F0" w:rsidP="003A55F0"/>
        </w:tc>
        <w:tc>
          <w:tcPr>
            <w:tcW w:w="4230" w:type="dxa"/>
          </w:tcPr>
          <w:p w14:paraId="6FCC1884" w14:textId="77777777" w:rsidR="003A55F0" w:rsidRPr="003A55F0" w:rsidRDefault="00387E3C" w:rsidP="003A55F0">
            <w:pPr>
              <w:rPr>
                <w:szCs w:val="24"/>
              </w:rPr>
            </w:pPr>
            <w:r w:rsidRPr="003A55F0">
              <w:t xml:space="preserve">Title: </w:t>
            </w:r>
            <w:r w:rsidRPr="003A55F0">
              <w:rPr>
                <w:rFonts w:ascii="Wingdings" w:hAnsi="Wingdings"/>
                <w:szCs w:val="24"/>
              </w:rPr>
              <w:sym w:font="Wingdings" w:char="F06C"/>
            </w:r>
          </w:p>
        </w:tc>
      </w:tr>
    </w:tbl>
    <w:p w14:paraId="1CC4B9CE" w14:textId="77777777" w:rsidR="003A55F0" w:rsidRDefault="003A55F0" w:rsidP="00994BDE">
      <w:pPr>
        <w:pStyle w:val="OHHpara"/>
      </w:pPr>
    </w:p>
    <w:p w14:paraId="05A26EF2" w14:textId="77777777" w:rsidR="00994BDE" w:rsidRDefault="00994BDE" w:rsidP="00994BDE">
      <w:pPr>
        <w:pStyle w:val="OHHpara"/>
      </w:pPr>
    </w:p>
    <w:p w14:paraId="7E0A2AAD" w14:textId="77777777" w:rsidR="00994BDE" w:rsidRDefault="00994BDE" w:rsidP="00994BDE">
      <w:pPr>
        <w:pStyle w:val="OHHpara"/>
        <w:sectPr w:rsidR="00994BDE">
          <w:footerReference w:type="first" r:id="rId12"/>
          <w:pgSz w:w="12240" w:h="15840"/>
          <w:pgMar w:top="1440" w:right="1440" w:bottom="1008" w:left="1440" w:header="706" w:footer="706" w:gutter="0"/>
          <w:cols w:space="720"/>
          <w:titlePg/>
          <w:docGrid w:linePitch="360"/>
        </w:sectPr>
      </w:pPr>
    </w:p>
    <w:p w14:paraId="5CF9ADAE" w14:textId="77777777" w:rsidR="00DA2D7C" w:rsidRDefault="00387E3C" w:rsidP="00994BDE">
      <w:pPr>
        <w:pStyle w:val="OHHpara"/>
      </w:pPr>
      <w:r w:rsidRPr="003D105E">
        <w:t>PURCHASERS:</w:t>
      </w:r>
    </w:p>
    <w:tbl>
      <w:tblPr>
        <w:tblW w:w="0" w:type="auto"/>
        <w:tblInd w:w="-115" w:type="dxa"/>
        <w:tblLayout w:type="fixed"/>
        <w:tblLook w:val="0000" w:firstRow="0" w:lastRow="0" w:firstColumn="0" w:lastColumn="0" w:noHBand="0" w:noVBand="0"/>
      </w:tblPr>
      <w:tblGrid>
        <w:gridCol w:w="4248"/>
        <w:gridCol w:w="450"/>
        <w:gridCol w:w="630"/>
        <w:gridCol w:w="4230"/>
      </w:tblGrid>
      <w:tr w:rsidR="00B65979" w14:paraId="0D11BF6B" w14:textId="77777777" w:rsidTr="009030BB">
        <w:trPr>
          <w:cantSplit/>
        </w:trPr>
        <w:tc>
          <w:tcPr>
            <w:tcW w:w="4248" w:type="dxa"/>
            <w:vMerge w:val="restart"/>
          </w:tcPr>
          <w:p w14:paraId="568D5B10" w14:textId="77777777" w:rsidR="003A55F0" w:rsidRPr="003A55F0" w:rsidRDefault="003A55F0" w:rsidP="003A55F0"/>
        </w:tc>
        <w:tc>
          <w:tcPr>
            <w:tcW w:w="450" w:type="dxa"/>
            <w:vMerge w:val="restart"/>
          </w:tcPr>
          <w:p w14:paraId="07EB48E3" w14:textId="77777777" w:rsidR="003A55F0" w:rsidRPr="003A55F0" w:rsidRDefault="003A55F0" w:rsidP="003A55F0"/>
        </w:tc>
        <w:tc>
          <w:tcPr>
            <w:tcW w:w="4860" w:type="dxa"/>
            <w:gridSpan w:val="2"/>
            <w:tcBorders>
              <w:bottom w:val="nil"/>
            </w:tcBorders>
          </w:tcPr>
          <w:p w14:paraId="6857D84C" w14:textId="77777777" w:rsidR="003A55F0" w:rsidRPr="003A55F0" w:rsidRDefault="00387E3C" w:rsidP="003A55F0">
            <w:pPr>
              <w:rPr>
                <w:szCs w:val="24"/>
              </w:rPr>
            </w:pPr>
            <w:r w:rsidRPr="003A55F0">
              <w:rPr>
                <w:b/>
                <w:bCs/>
                <w:szCs w:val="24"/>
              </w:rPr>
              <w:t>[PURCHASER NAME]</w:t>
            </w:r>
          </w:p>
        </w:tc>
      </w:tr>
      <w:tr w:rsidR="00B65979" w14:paraId="78D8FACE" w14:textId="77777777" w:rsidTr="009030BB">
        <w:trPr>
          <w:cantSplit/>
          <w:trHeight w:val="864"/>
        </w:trPr>
        <w:tc>
          <w:tcPr>
            <w:tcW w:w="4248" w:type="dxa"/>
            <w:vMerge/>
          </w:tcPr>
          <w:p w14:paraId="7CE91D3F" w14:textId="77777777" w:rsidR="003A55F0" w:rsidRPr="003A55F0" w:rsidRDefault="003A55F0" w:rsidP="003A55F0"/>
        </w:tc>
        <w:tc>
          <w:tcPr>
            <w:tcW w:w="450" w:type="dxa"/>
            <w:vMerge/>
          </w:tcPr>
          <w:p w14:paraId="1613EEA1" w14:textId="77777777" w:rsidR="003A55F0" w:rsidRPr="003A55F0" w:rsidRDefault="003A55F0" w:rsidP="003A55F0"/>
        </w:tc>
        <w:tc>
          <w:tcPr>
            <w:tcW w:w="630" w:type="dxa"/>
            <w:vAlign w:val="bottom"/>
          </w:tcPr>
          <w:p w14:paraId="15B649F8" w14:textId="77777777" w:rsidR="003A55F0" w:rsidRPr="003A55F0" w:rsidRDefault="00387E3C" w:rsidP="003A55F0">
            <w:pPr>
              <w:jc w:val="right"/>
            </w:pPr>
            <w:r w:rsidRPr="003A55F0">
              <w:t>By:</w:t>
            </w:r>
          </w:p>
        </w:tc>
        <w:tc>
          <w:tcPr>
            <w:tcW w:w="4230" w:type="dxa"/>
            <w:tcBorders>
              <w:bottom w:val="single" w:sz="4" w:space="0" w:color="auto"/>
            </w:tcBorders>
            <w:vAlign w:val="bottom"/>
          </w:tcPr>
          <w:p w14:paraId="0D405A68" w14:textId="77777777" w:rsidR="003A55F0" w:rsidRPr="003A55F0" w:rsidRDefault="003A55F0" w:rsidP="003A55F0"/>
        </w:tc>
      </w:tr>
      <w:tr w:rsidR="00B65979" w14:paraId="6D3777AA" w14:textId="77777777" w:rsidTr="009030BB">
        <w:trPr>
          <w:cantSplit/>
          <w:trHeight w:val="174"/>
        </w:trPr>
        <w:tc>
          <w:tcPr>
            <w:tcW w:w="4248" w:type="dxa"/>
            <w:vMerge/>
          </w:tcPr>
          <w:p w14:paraId="371AA56D" w14:textId="77777777" w:rsidR="003A55F0" w:rsidRPr="003A55F0" w:rsidRDefault="003A55F0" w:rsidP="003A55F0"/>
        </w:tc>
        <w:tc>
          <w:tcPr>
            <w:tcW w:w="450" w:type="dxa"/>
            <w:vMerge/>
          </w:tcPr>
          <w:p w14:paraId="1449125A" w14:textId="77777777" w:rsidR="003A55F0" w:rsidRPr="003A55F0" w:rsidRDefault="003A55F0" w:rsidP="003A55F0"/>
        </w:tc>
        <w:tc>
          <w:tcPr>
            <w:tcW w:w="630" w:type="dxa"/>
          </w:tcPr>
          <w:p w14:paraId="5251D2AC" w14:textId="77777777" w:rsidR="003A55F0" w:rsidRPr="003A55F0" w:rsidRDefault="003A55F0" w:rsidP="003A55F0"/>
        </w:tc>
        <w:tc>
          <w:tcPr>
            <w:tcW w:w="4230" w:type="dxa"/>
          </w:tcPr>
          <w:p w14:paraId="280BF15E" w14:textId="77777777" w:rsidR="003A55F0" w:rsidRPr="003A55F0" w:rsidRDefault="00387E3C" w:rsidP="003A55F0">
            <w:pPr>
              <w:rPr>
                <w:szCs w:val="24"/>
              </w:rPr>
            </w:pPr>
            <w:r w:rsidRPr="003A55F0">
              <w:t xml:space="preserve">Name: </w:t>
            </w:r>
            <w:r w:rsidRPr="003A55F0">
              <w:rPr>
                <w:rFonts w:ascii="Wingdings" w:hAnsi="Wingdings"/>
                <w:szCs w:val="24"/>
              </w:rPr>
              <w:sym w:font="Wingdings" w:char="F06C"/>
            </w:r>
          </w:p>
        </w:tc>
      </w:tr>
      <w:tr w:rsidR="00B65979" w14:paraId="596A3912" w14:textId="77777777" w:rsidTr="009030BB">
        <w:trPr>
          <w:cantSplit/>
          <w:trHeight w:hRule="exact" w:val="360"/>
        </w:trPr>
        <w:tc>
          <w:tcPr>
            <w:tcW w:w="4248" w:type="dxa"/>
            <w:vMerge/>
          </w:tcPr>
          <w:p w14:paraId="03F6B0C5" w14:textId="77777777" w:rsidR="003A55F0" w:rsidRPr="003A55F0" w:rsidRDefault="003A55F0" w:rsidP="003A55F0"/>
        </w:tc>
        <w:tc>
          <w:tcPr>
            <w:tcW w:w="450" w:type="dxa"/>
            <w:vMerge/>
          </w:tcPr>
          <w:p w14:paraId="29E81A5C" w14:textId="77777777" w:rsidR="003A55F0" w:rsidRPr="003A55F0" w:rsidRDefault="003A55F0" w:rsidP="003A55F0"/>
        </w:tc>
        <w:tc>
          <w:tcPr>
            <w:tcW w:w="630" w:type="dxa"/>
          </w:tcPr>
          <w:p w14:paraId="4847F604" w14:textId="77777777" w:rsidR="003A55F0" w:rsidRPr="003A55F0" w:rsidRDefault="003A55F0" w:rsidP="003A55F0"/>
        </w:tc>
        <w:tc>
          <w:tcPr>
            <w:tcW w:w="4230" w:type="dxa"/>
          </w:tcPr>
          <w:p w14:paraId="0BB5D2F2" w14:textId="77777777" w:rsidR="003A55F0" w:rsidRPr="003A55F0" w:rsidRDefault="00387E3C" w:rsidP="003A55F0">
            <w:pPr>
              <w:rPr>
                <w:szCs w:val="24"/>
              </w:rPr>
            </w:pPr>
            <w:r w:rsidRPr="003A55F0">
              <w:t xml:space="preserve">Title: </w:t>
            </w:r>
            <w:r w:rsidRPr="003A55F0">
              <w:rPr>
                <w:rFonts w:ascii="Wingdings" w:hAnsi="Wingdings"/>
                <w:szCs w:val="24"/>
              </w:rPr>
              <w:sym w:font="Wingdings" w:char="F06C"/>
            </w:r>
          </w:p>
        </w:tc>
      </w:tr>
    </w:tbl>
    <w:p w14:paraId="6445CBA8" w14:textId="77777777" w:rsidR="003A55F0" w:rsidRDefault="003A55F0" w:rsidP="00994BDE">
      <w:pPr>
        <w:pStyle w:val="OHHpara"/>
      </w:pPr>
    </w:p>
    <w:p w14:paraId="54E0FE6C" w14:textId="77777777" w:rsidR="003A55F0" w:rsidRDefault="003A55F0" w:rsidP="00994BDE">
      <w:pPr>
        <w:pStyle w:val="OHHpara"/>
      </w:pPr>
    </w:p>
    <w:p w14:paraId="5CF2FB0C" w14:textId="77777777" w:rsidR="00994BDE" w:rsidRDefault="00994BDE" w:rsidP="00994BDE">
      <w:pPr>
        <w:pStyle w:val="OHHpara"/>
        <w:rPr>
          <w:rFonts w:eastAsia="Calibri"/>
        </w:rPr>
        <w:sectPr w:rsidR="00994BDE">
          <w:pgSz w:w="12240" w:h="15840"/>
          <w:pgMar w:top="1440" w:right="1440" w:bottom="1008" w:left="1440" w:header="706" w:footer="706" w:gutter="0"/>
          <w:cols w:space="720"/>
          <w:titlePg/>
          <w:docGrid w:linePitch="360"/>
        </w:sectPr>
      </w:pPr>
    </w:p>
    <w:tbl>
      <w:tblPr>
        <w:tblW w:w="9558" w:type="dxa"/>
        <w:tblInd w:w="-115" w:type="dxa"/>
        <w:tblLayout w:type="fixed"/>
        <w:tblLook w:val="0000" w:firstRow="0" w:lastRow="0" w:firstColumn="0" w:lastColumn="0" w:noHBand="0" w:noVBand="0"/>
      </w:tblPr>
      <w:tblGrid>
        <w:gridCol w:w="4248"/>
        <w:gridCol w:w="1080"/>
        <w:gridCol w:w="4230"/>
      </w:tblGrid>
      <w:tr w:rsidR="00B65979" w14:paraId="2CDC4819" w14:textId="77777777" w:rsidTr="009030BB">
        <w:trPr>
          <w:cantSplit/>
          <w:trHeight w:val="720"/>
        </w:trPr>
        <w:tc>
          <w:tcPr>
            <w:tcW w:w="4248" w:type="dxa"/>
            <w:tcBorders>
              <w:top w:val="nil"/>
            </w:tcBorders>
            <w:vAlign w:val="bottom"/>
          </w:tcPr>
          <w:p w14:paraId="081AB595" w14:textId="77777777" w:rsidR="003A55F0" w:rsidRPr="003A55F0" w:rsidRDefault="003A55F0" w:rsidP="003A55F0"/>
        </w:tc>
        <w:tc>
          <w:tcPr>
            <w:tcW w:w="1080" w:type="dxa"/>
            <w:vAlign w:val="bottom"/>
          </w:tcPr>
          <w:p w14:paraId="03B4B92C" w14:textId="77777777" w:rsidR="003A55F0" w:rsidRPr="003A55F0" w:rsidRDefault="003A55F0" w:rsidP="003A55F0"/>
        </w:tc>
        <w:tc>
          <w:tcPr>
            <w:tcW w:w="4230" w:type="dxa"/>
            <w:tcBorders>
              <w:bottom w:val="single" w:sz="4" w:space="0" w:color="auto"/>
            </w:tcBorders>
            <w:vAlign w:val="bottom"/>
          </w:tcPr>
          <w:p w14:paraId="47308E9F" w14:textId="77777777" w:rsidR="003A55F0" w:rsidRPr="003A55F0" w:rsidRDefault="003A55F0" w:rsidP="003A55F0"/>
        </w:tc>
      </w:tr>
      <w:tr w:rsidR="00B65979" w14:paraId="1D4CEF91" w14:textId="77777777" w:rsidTr="009030BB">
        <w:trPr>
          <w:cantSplit/>
        </w:trPr>
        <w:tc>
          <w:tcPr>
            <w:tcW w:w="4248" w:type="dxa"/>
            <w:tcBorders>
              <w:top w:val="nil"/>
            </w:tcBorders>
          </w:tcPr>
          <w:p w14:paraId="19C6B4DC" w14:textId="77777777" w:rsidR="003A55F0" w:rsidRPr="003A55F0" w:rsidRDefault="003A55F0" w:rsidP="003A55F0"/>
        </w:tc>
        <w:tc>
          <w:tcPr>
            <w:tcW w:w="1080" w:type="dxa"/>
          </w:tcPr>
          <w:p w14:paraId="7715243A" w14:textId="77777777" w:rsidR="003A55F0" w:rsidRPr="003A55F0" w:rsidRDefault="003A55F0" w:rsidP="003A55F0"/>
        </w:tc>
        <w:tc>
          <w:tcPr>
            <w:tcW w:w="4230" w:type="dxa"/>
          </w:tcPr>
          <w:p w14:paraId="011BA9C7" w14:textId="77777777" w:rsidR="003A55F0" w:rsidRPr="003A55F0" w:rsidRDefault="00387E3C" w:rsidP="003A55F0">
            <w:pPr>
              <w:jc w:val="center"/>
              <w:rPr>
                <w:szCs w:val="24"/>
              </w:rPr>
            </w:pPr>
            <w:r w:rsidRPr="003A55F0">
              <w:rPr>
                <w:b/>
                <w:bCs/>
                <w:szCs w:val="24"/>
              </w:rPr>
              <w:t>[PURCHASER NAME]</w:t>
            </w:r>
          </w:p>
        </w:tc>
      </w:tr>
    </w:tbl>
    <w:p w14:paraId="6997F2BF" w14:textId="77777777" w:rsidR="003A55F0" w:rsidRDefault="003A55F0" w:rsidP="00994BDE">
      <w:pPr>
        <w:pStyle w:val="OHHpara"/>
        <w:rPr>
          <w:rFonts w:eastAsia="Calibri"/>
        </w:rPr>
      </w:pPr>
    </w:p>
    <w:p w14:paraId="48637397" w14:textId="77777777" w:rsidR="003A55F0" w:rsidRDefault="003A55F0" w:rsidP="00994BDE">
      <w:pPr>
        <w:pStyle w:val="OHHpara"/>
        <w:rPr>
          <w:rFonts w:eastAsia="Calibri"/>
        </w:rPr>
      </w:pPr>
    </w:p>
    <w:p w14:paraId="78795C68" w14:textId="77777777" w:rsidR="003A55F0" w:rsidRDefault="003A55F0" w:rsidP="00994BDE">
      <w:pPr>
        <w:pStyle w:val="OHHpara"/>
        <w:rPr>
          <w:rFonts w:eastAsia="Calibri"/>
        </w:rPr>
        <w:sectPr w:rsidR="003A55F0">
          <w:pgSz w:w="12240" w:h="15840"/>
          <w:pgMar w:top="1440" w:right="1440" w:bottom="1008" w:left="1440" w:header="706" w:footer="706" w:gutter="0"/>
          <w:cols w:space="720"/>
          <w:titlePg/>
          <w:docGrid w:linePitch="360"/>
        </w:sectPr>
      </w:pPr>
    </w:p>
    <w:p w14:paraId="20BFC383" w14:textId="4FE640DB" w:rsidR="00DA2D7C" w:rsidRPr="003D105E" w:rsidRDefault="00387E3C" w:rsidP="00994BDE">
      <w:pPr>
        <w:pStyle w:val="Schedule"/>
      </w:pPr>
      <w:bookmarkStart w:id="107" w:name="_Toc219945839"/>
      <w:r w:rsidRPr="003D105E">
        <w:rPr>
          <w:caps w:val="0"/>
        </w:rPr>
        <w:t xml:space="preserve">EXHIBIT </w:t>
      </w:r>
      <w:bookmarkStart w:id="108" w:name="Ex_A"/>
      <w:r w:rsidRPr="00994BDE">
        <w:rPr>
          <w:caps w:val="0"/>
        </w:rPr>
        <w:t>A</w:t>
      </w:r>
      <w:bookmarkEnd w:id="108"/>
      <w:r w:rsidRPr="003D105E">
        <w:rPr>
          <w:caps w:val="0"/>
        </w:rPr>
        <w:br/>
      </w:r>
      <w:r w:rsidRPr="00994BDE">
        <w:rPr>
          <w:caps w:val="0"/>
          <w:u w:val="none"/>
        </w:rPr>
        <w:t>SCHEDULE OF PURCHASERS</w:t>
      </w:r>
      <w:bookmarkEnd w:id="107"/>
    </w:p>
    <w:p w14:paraId="77BC2AB7" w14:textId="77777777" w:rsidR="00DA2D7C" w:rsidRDefault="00387E3C" w:rsidP="00994BDE">
      <w:pPr>
        <w:pStyle w:val="OHHpara"/>
        <w:rPr>
          <w:b/>
          <w:bCs/>
          <w:i/>
          <w:iCs/>
        </w:rPr>
      </w:pPr>
      <w:r w:rsidRPr="00994BDE">
        <w:rPr>
          <w:b/>
          <w:bCs/>
          <w:i/>
          <w:iCs/>
        </w:rPr>
        <w:t>Purchasers – Initial Closing</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8"/>
        <w:gridCol w:w="2339"/>
        <w:gridCol w:w="2339"/>
        <w:gridCol w:w="2339"/>
      </w:tblGrid>
      <w:tr w:rsidR="00B65979" w14:paraId="144A886E" w14:textId="77777777" w:rsidTr="005C42FF">
        <w:trPr>
          <w:trHeight w:val="845"/>
        </w:trPr>
        <w:tc>
          <w:tcPr>
            <w:tcW w:w="2338" w:type="dxa"/>
            <w:shd w:val="clear" w:color="auto" w:fill="BFBFBF" w:themeFill="background1" w:themeFillShade="BF"/>
            <w:vAlign w:val="center"/>
          </w:tcPr>
          <w:p w14:paraId="08BF9C2E" w14:textId="77777777" w:rsidR="00DA2D7C" w:rsidRPr="00994BDE" w:rsidRDefault="00387E3C" w:rsidP="00994BDE">
            <w:pPr>
              <w:pStyle w:val="OHHTableText"/>
              <w:rPr>
                <w:b/>
                <w:bCs/>
              </w:rPr>
            </w:pPr>
            <w:r w:rsidRPr="00994BDE">
              <w:rPr>
                <w:b/>
                <w:bCs/>
              </w:rPr>
              <w:t>Name</w:t>
            </w:r>
          </w:p>
        </w:tc>
        <w:tc>
          <w:tcPr>
            <w:tcW w:w="2339" w:type="dxa"/>
            <w:shd w:val="clear" w:color="auto" w:fill="BFBFBF" w:themeFill="background1" w:themeFillShade="BF"/>
            <w:vAlign w:val="center"/>
          </w:tcPr>
          <w:p w14:paraId="39D74131" w14:textId="77777777" w:rsidR="00DA2D7C" w:rsidRPr="00994BDE" w:rsidRDefault="00387E3C" w:rsidP="00994BDE">
            <w:pPr>
              <w:pStyle w:val="OHHTableText"/>
              <w:rPr>
                <w:b/>
                <w:bCs/>
              </w:rPr>
            </w:pPr>
            <w:r w:rsidRPr="00994BDE">
              <w:rPr>
                <w:b/>
                <w:bCs/>
              </w:rPr>
              <w:t>Address</w:t>
            </w:r>
          </w:p>
        </w:tc>
        <w:tc>
          <w:tcPr>
            <w:tcW w:w="2339" w:type="dxa"/>
            <w:shd w:val="clear" w:color="auto" w:fill="BFBFBF" w:themeFill="background1" w:themeFillShade="BF"/>
            <w:vAlign w:val="center"/>
          </w:tcPr>
          <w:p w14:paraId="11ECBC49" w14:textId="77777777" w:rsidR="00DA2D7C" w:rsidRPr="00994BDE" w:rsidRDefault="00387E3C" w:rsidP="00994BDE">
            <w:pPr>
              <w:pStyle w:val="OHHTableText"/>
              <w:rPr>
                <w:b/>
                <w:bCs/>
              </w:rPr>
            </w:pPr>
            <w:r w:rsidRPr="00994BDE">
              <w:rPr>
                <w:b/>
                <w:bCs/>
              </w:rPr>
              <w:t>Number of Series 3 Seed Preferred Shares to be Issued</w:t>
            </w:r>
          </w:p>
        </w:tc>
        <w:tc>
          <w:tcPr>
            <w:tcW w:w="2339" w:type="dxa"/>
            <w:shd w:val="clear" w:color="auto" w:fill="BFBFBF" w:themeFill="background1" w:themeFillShade="BF"/>
            <w:vAlign w:val="center"/>
          </w:tcPr>
          <w:p w14:paraId="41FFFAEF" w14:textId="77777777" w:rsidR="00DA2D7C" w:rsidRPr="00994BDE" w:rsidRDefault="00387E3C" w:rsidP="00994BDE">
            <w:pPr>
              <w:pStyle w:val="OHHTableText"/>
              <w:rPr>
                <w:b/>
                <w:bCs/>
              </w:rPr>
            </w:pPr>
            <w:r w:rsidRPr="00994BDE">
              <w:rPr>
                <w:b/>
                <w:bCs/>
              </w:rPr>
              <w:t>Aggregate Purchase Price [C/US]($)</w:t>
            </w:r>
          </w:p>
        </w:tc>
      </w:tr>
      <w:tr w:rsidR="00B65979" w14:paraId="26213EB3" w14:textId="77777777" w:rsidTr="005C42FF">
        <w:tc>
          <w:tcPr>
            <w:tcW w:w="2338" w:type="dxa"/>
            <w:vAlign w:val="center"/>
          </w:tcPr>
          <w:p w14:paraId="0A60A321" w14:textId="77777777" w:rsidR="00DA2D7C" w:rsidRPr="00994BDE" w:rsidRDefault="00387E3C" w:rsidP="00994BDE">
            <w:pPr>
              <w:pStyle w:val="OHHTableText"/>
              <w:rPr>
                <w:rFonts w:eastAsia="Calibri"/>
              </w:rPr>
            </w:pPr>
            <w:r w:rsidRPr="00994BDE">
              <w:rPr>
                <w:rFonts w:ascii="Wingdings" w:eastAsia="Calibri" w:hAnsi="Wingdings"/>
              </w:rPr>
              <w:sym w:font="Wingdings" w:char="F06C"/>
            </w:r>
          </w:p>
        </w:tc>
        <w:tc>
          <w:tcPr>
            <w:tcW w:w="2339" w:type="dxa"/>
            <w:vAlign w:val="center"/>
          </w:tcPr>
          <w:p w14:paraId="385EE12F" w14:textId="77777777" w:rsidR="00DA2D7C" w:rsidRPr="00994BDE" w:rsidRDefault="00387E3C" w:rsidP="00994BDE">
            <w:pPr>
              <w:pStyle w:val="OHHTableText"/>
              <w:rPr>
                <w:rFonts w:eastAsia="Calibri"/>
              </w:rPr>
            </w:pPr>
            <w:r w:rsidRPr="00994BDE">
              <w:rPr>
                <w:rFonts w:ascii="Wingdings" w:eastAsia="Calibri" w:hAnsi="Wingdings"/>
              </w:rPr>
              <w:sym w:font="Wingdings" w:char="F06C"/>
            </w:r>
          </w:p>
        </w:tc>
        <w:tc>
          <w:tcPr>
            <w:tcW w:w="2339" w:type="dxa"/>
            <w:vAlign w:val="center"/>
          </w:tcPr>
          <w:p w14:paraId="2AF1AAC2" w14:textId="77777777" w:rsidR="00DA2D7C" w:rsidRPr="00994BDE" w:rsidRDefault="00387E3C" w:rsidP="00994BDE">
            <w:pPr>
              <w:pStyle w:val="OHHTableText"/>
              <w:rPr>
                <w:rFonts w:eastAsia="Calibri"/>
                <w:lang w:val="en-US"/>
              </w:rPr>
            </w:pPr>
            <w:r w:rsidRPr="00994BDE">
              <w:rPr>
                <w:rFonts w:ascii="Wingdings" w:eastAsia="Calibri" w:hAnsi="Wingdings"/>
              </w:rPr>
              <w:sym w:font="Wingdings" w:char="F06C"/>
            </w:r>
          </w:p>
        </w:tc>
        <w:tc>
          <w:tcPr>
            <w:tcW w:w="2339" w:type="dxa"/>
            <w:vAlign w:val="center"/>
          </w:tcPr>
          <w:p w14:paraId="1430906C" w14:textId="77777777" w:rsidR="00DA2D7C" w:rsidRPr="00994BDE" w:rsidRDefault="00387E3C" w:rsidP="00994BDE">
            <w:pPr>
              <w:pStyle w:val="OHHTableText"/>
              <w:rPr>
                <w:rFonts w:eastAsia="Calibri"/>
                <w:lang w:val="en-US"/>
              </w:rPr>
            </w:pPr>
            <w:r w:rsidRPr="00994BDE">
              <w:rPr>
                <w:rFonts w:ascii="Wingdings" w:eastAsia="Calibri" w:hAnsi="Wingdings"/>
              </w:rPr>
              <w:sym w:font="Wingdings" w:char="F06C"/>
            </w:r>
          </w:p>
        </w:tc>
      </w:tr>
      <w:tr w:rsidR="00B65979" w14:paraId="78F36086" w14:textId="77777777" w:rsidTr="005C42FF">
        <w:tc>
          <w:tcPr>
            <w:tcW w:w="2338" w:type="dxa"/>
            <w:vAlign w:val="center"/>
          </w:tcPr>
          <w:p w14:paraId="646F2D18" w14:textId="77777777" w:rsidR="00DA2D7C" w:rsidRPr="00994BDE" w:rsidRDefault="00387E3C" w:rsidP="00994BDE">
            <w:pPr>
              <w:pStyle w:val="OHHTableText"/>
              <w:rPr>
                <w:rFonts w:eastAsia="Calibri"/>
              </w:rPr>
            </w:pPr>
            <w:r w:rsidRPr="00994BDE">
              <w:rPr>
                <w:rFonts w:ascii="Wingdings" w:eastAsia="Calibri" w:hAnsi="Wingdings"/>
              </w:rPr>
              <w:sym w:font="Wingdings" w:char="F06C"/>
            </w:r>
          </w:p>
        </w:tc>
        <w:tc>
          <w:tcPr>
            <w:tcW w:w="2339" w:type="dxa"/>
            <w:vAlign w:val="center"/>
          </w:tcPr>
          <w:p w14:paraId="1821EA48" w14:textId="77777777" w:rsidR="00DA2D7C" w:rsidRPr="00994BDE" w:rsidRDefault="00387E3C" w:rsidP="00994BDE">
            <w:pPr>
              <w:pStyle w:val="OHHTableText"/>
              <w:rPr>
                <w:rFonts w:eastAsia="Calibri"/>
              </w:rPr>
            </w:pPr>
            <w:r w:rsidRPr="00994BDE">
              <w:rPr>
                <w:rFonts w:ascii="Wingdings" w:eastAsia="Calibri" w:hAnsi="Wingdings"/>
              </w:rPr>
              <w:sym w:font="Wingdings" w:char="F06C"/>
            </w:r>
          </w:p>
        </w:tc>
        <w:tc>
          <w:tcPr>
            <w:tcW w:w="2339" w:type="dxa"/>
            <w:vAlign w:val="center"/>
          </w:tcPr>
          <w:p w14:paraId="68258998" w14:textId="77777777" w:rsidR="00DA2D7C" w:rsidRPr="00994BDE" w:rsidRDefault="00387E3C" w:rsidP="00994BDE">
            <w:pPr>
              <w:pStyle w:val="OHHTableText"/>
              <w:rPr>
                <w:rFonts w:eastAsia="Calibri"/>
                <w:lang w:val="en-US"/>
              </w:rPr>
            </w:pPr>
            <w:r w:rsidRPr="00994BDE">
              <w:rPr>
                <w:rFonts w:ascii="Wingdings" w:eastAsia="Calibri" w:hAnsi="Wingdings"/>
              </w:rPr>
              <w:sym w:font="Wingdings" w:char="F06C"/>
            </w:r>
          </w:p>
        </w:tc>
        <w:tc>
          <w:tcPr>
            <w:tcW w:w="2339" w:type="dxa"/>
            <w:vAlign w:val="center"/>
          </w:tcPr>
          <w:p w14:paraId="031C8A54" w14:textId="77777777" w:rsidR="00DA2D7C" w:rsidRPr="00994BDE" w:rsidRDefault="00387E3C" w:rsidP="00994BDE">
            <w:pPr>
              <w:pStyle w:val="OHHTableText"/>
              <w:rPr>
                <w:rFonts w:eastAsia="Calibri"/>
                <w:lang w:val="en-US"/>
              </w:rPr>
            </w:pPr>
            <w:r w:rsidRPr="00994BDE">
              <w:rPr>
                <w:rFonts w:ascii="Wingdings" w:eastAsia="Calibri" w:hAnsi="Wingdings"/>
              </w:rPr>
              <w:sym w:font="Wingdings" w:char="F06C"/>
            </w:r>
          </w:p>
        </w:tc>
      </w:tr>
      <w:tr w:rsidR="00B65979" w14:paraId="2E0FA8B8" w14:textId="77777777" w:rsidTr="005C42FF">
        <w:tc>
          <w:tcPr>
            <w:tcW w:w="2338" w:type="dxa"/>
            <w:shd w:val="clear" w:color="auto" w:fill="BFBFBF"/>
            <w:vAlign w:val="center"/>
          </w:tcPr>
          <w:p w14:paraId="2BCAF4BC" w14:textId="77777777" w:rsidR="00DA2D7C" w:rsidRPr="00994BDE" w:rsidRDefault="00387E3C" w:rsidP="00994BDE">
            <w:pPr>
              <w:pStyle w:val="OHHTableText"/>
              <w:rPr>
                <w:b/>
                <w:bCs/>
              </w:rPr>
            </w:pPr>
            <w:r w:rsidRPr="00994BDE">
              <w:rPr>
                <w:b/>
                <w:bCs/>
              </w:rPr>
              <w:t>TOTALS</w:t>
            </w:r>
          </w:p>
        </w:tc>
        <w:tc>
          <w:tcPr>
            <w:tcW w:w="2339" w:type="dxa"/>
            <w:shd w:val="clear" w:color="auto" w:fill="BFBFBF"/>
            <w:vAlign w:val="center"/>
          </w:tcPr>
          <w:p w14:paraId="241BAB09" w14:textId="77777777" w:rsidR="00DA2D7C" w:rsidRPr="00994BDE" w:rsidRDefault="00DA2D7C" w:rsidP="00994BDE">
            <w:pPr>
              <w:pStyle w:val="OHHTableText"/>
              <w:rPr>
                <w:rFonts w:eastAsia="Calibri"/>
                <w:b/>
                <w:bCs/>
              </w:rPr>
            </w:pPr>
          </w:p>
        </w:tc>
        <w:tc>
          <w:tcPr>
            <w:tcW w:w="2339" w:type="dxa"/>
            <w:shd w:val="clear" w:color="auto" w:fill="BFBFBF"/>
            <w:vAlign w:val="center"/>
          </w:tcPr>
          <w:p w14:paraId="547D50D5" w14:textId="77777777" w:rsidR="00DA2D7C" w:rsidRPr="00994BDE" w:rsidRDefault="00DA2D7C" w:rsidP="00994BDE">
            <w:pPr>
              <w:pStyle w:val="OHHTableText"/>
              <w:rPr>
                <w:rFonts w:eastAsia="Calibri"/>
                <w:b/>
                <w:bCs/>
                <w:lang w:val="en-US"/>
              </w:rPr>
            </w:pPr>
          </w:p>
        </w:tc>
        <w:tc>
          <w:tcPr>
            <w:tcW w:w="2339" w:type="dxa"/>
            <w:shd w:val="clear" w:color="auto" w:fill="BFBFBF"/>
            <w:vAlign w:val="center"/>
          </w:tcPr>
          <w:p w14:paraId="6692F00A" w14:textId="77777777" w:rsidR="00DA2D7C" w:rsidRPr="00994BDE" w:rsidRDefault="00DA2D7C" w:rsidP="00994BDE">
            <w:pPr>
              <w:pStyle w:val="OHHTableText"/>
              <w:rPr>
                <w:rFonts w:eastAsia="Calibri"/>
                <w:b/>
                <w:bCs/>
                <w:lang w:val="en-US"/>
              </w:rPr>
            </w:pPr>
          </w:p>
        </w:tc>
      </w:tr>
    </w:tbl>
    <w:p w14:paraId="52CBB13C" w14:textId="77777777" w:rsidR="00994BDE" w:rsidRDefault="00994BDE" w:rsidP="00994BDE">
      <w:pPr>
        <w:pStyle w:val="OHHpara"/>
        <w:rPr>
          <w:b/>
          <w:i/>
          <w:szCs w:val="24"/>
        </w:rPr>
      </w:pPr>
    </w:p>
    <w:p w14:paraId="29C862B4" w14:textId="0378F7EB" w:rsidR="00DA2D7C" w:rsidRPr="003D105E" w:rsidRDefault="00387E3C" w:rsidP="00994BDE">
      <w:pPr>
        <w:pStyle w:val="OHHpara"/>
        <w:rPr>
          <w:b/>
          <w:i/>
          <w:szCs w:val="24"/>
        </w:rPr>
      </w:pPr>
      <w:r w:rsidRPr="003D105E">
        <w:rPr>
          <w:b/>
          <w:i/>
          <w:szCs w:val="24"/>
        </w:rPr>
        <w:t xml:space="preserve">Purchasers holding a </w:t>
      </w:r>
      <w:r w:rsidRPr="00994BDE">
        <w:rPr>
          <w:b/>
          <w:bCs/>
          <w:i/>
          <w:iCs/>
        </w:rPr>
        <w:t>Convertible</w:t>
      </w:r>
      <w:r w:rsidRPr="003D105E">
        <w:rPr>
          <w:b/>
          <w:i/>
          <w:szCs w:val="24"/>
        </w:rPr>
        <w:t xml:space="preserve"> Security</w:t>
      </w:r>
    </w:p>
    <w:tbl>
      <w:tblPr>
        <w:tblStyle w:val="TableGrid"/>
        <w:tblW w:w="9355" w:type="dxa"/>
        <w:tblLook w:val="04A0" w:firstRow="1" w:lastRow="0" w:firstColumn="1" w:lastColumn="0" w:noHBand="0" w:noVBand="1"/>
      </w:tblPr>
      <w:tblGrid>
        <w:gridCol w:w="1871"/>
        <w:gridCol w:w="1871"/>
        <w:gridCol w:w="1871"/>
        <w:gridCol w:w="1871"/>
        <w:gridCol w:w="1871"/>
      </w:tblGrid>
      <w:tr w:rsidR="00B65979" w14:paraId="4EAB7844" w14:textId="77777777" w:rsidTr="005C42FF">
        <w:tc>
          <w:tcPr>
            <w:tcW w:w="1871" w:type="dxa"/>
            <w:shd w:val="clear" w:color="auto" w:fill="BFBFBF" w:themeFill="background1" w:themeFillShade="BF"/>
            <w:vAlign w:val="center"/>
          </w:tcPr>
          <w:p w14:paraId="077F4E4A" w14:textId="77777777" w:rsidR="00DA2D7C" w:rsidRPr="00994BDE" w:rsidRDefault="00387E3C" w:rsidP="00994BDE">
            <w:pPr>
              <w:pStyle w:val="OHHTableText"/>
              <w:rPr>
                <w:b/>
                <w:bCs/>
              </w:rPr>
            </w:pPr>
            <w:r w:rsidRPr="00994BDE">
              <w:rPr>
                <w:b/>
                <w:bCs/>
              </w:rPr>
              <w:t>Name</w:t>
            </w:r>
          </w:p>
        </w:tc>
        <w:tc>
          <w:tcPr>
            <w:tcW w:w="1871" w:type="dxa"/>
            <w:shd w:val="clear" w:color="auto" w:fill="BFBFBF" w:themeFill="background1" w:themeFillShade="BF"/>
            <w:vAlign w:val="center"/>
          </w:tcPr>
          <w:p w14:paraId="39EB1785" w14:textId="77777777" w:rsidR="00DA2D7C" w:rsidRPr="00994BDE" w:rsidRDefault="00387E3C" w:rsidP="00994BDE">
            <w:pPr>
              <w:pStyle w:val="OHHTableText"/>
              <w:rPr>
                <w:b/>
                <w:bCs/>
              </w:rPr>
            </w:pPr>
            <w:r w:rsidRPr="00994BDE">
              <w:rPr>
                <w:b/>
                <w:bCs/>
              </w:rPr>
              <w:t>Address</w:t>
            </w:r>
          </w:p>
        </w:tc>
        <w:tc>
          <w:tcPr>
            <w:tcW w:w="1871" w:type="dxa"/>
            <w:shd w:val="clear" w:color="auto" w:fill="BFBFBF" w:themeFill="background1" w:themeFillShade="BF"/>
            <w:vAlign w:val="center"/>
          </w:tcPr>
          <w:p w14:paraId="0AF20A5C" w14:textId="77777777" w:rsidR="00DA2D7C" w:rsidRPr="00994BDE" w:rsidRDefault="00387E3C" w:rsidP="00994BDE">
            <w:pPr>
              <w:pStyle w:val="OHHTableText"/>
              <w:rPr>
                <w:b/>
                <w:bCs/>
              </w:rPr>
            </w:pPr>
            <w:r w:rsidRPr="00994BDE">
              <w:rPr>
                <w:b/>
                <w:bCs/>
              </w:rPr>
              <w:t>Purchase Amount of Convertible Security [C/US]($)</w:t>
            </w:r>
          </w:p>
        </w:tc>
        <w:tc>
          <w:tcPr>
            <w:tcW w:w="1871" w:type="dxa"/>
            <w:shd w:val="clear" w:color="auto" w:fill="BFBFBF" w:themeFill="background1" w:themeFillShade="BF"/>
            <w:vAlign w:val="center"/>
          </w:tcPr>
          <w:p w14:paraId="02841204" w14:textId="77777777" w:rsidR="00DA2D7C" w:rsidRPr="00994BDE" w:rsidRDefault="00387E3C" w:rsidP="00994BDE">
            <w:pPr>
              <w:pStyle w:val="OHHTableText"/>
              <w:rPr>
                <w:b/>
                <w:bCs/>
              </w:rPr>
            </w:pPr>
            <w:r w:rsidRPr="00994BDE">
              <w:rPr>
                <w:b/>
                <w:bCs/>
              </w:rPr>
              <w:t>Number of Convertible Security Shares to be Issued</w:t>
            </w:r>
          </w:p>
        </w:tc>
        <w:tc>
          <w:tcPr>
            <w:tcW w:w="1871" w:type="dxa"/>
            <w:shd w:val="clear" w:color="auto" w:fill="BFBFBF" w:themeFill="background1" w:themeFillShade="BF"/>
            <w:vAlign w:val="center"/>
          </w:tcPr>
          <w:p w14:paraId="1FB3C579" w14:textId="77777777" w:rsidR="00DA2D7C" w:rsidRPr="00994BDE" w:rsidRDefault="00387E3C" w:rsidP="00994BDE">
            <w:pPr>
              <w:pStyle w:val="OHHTableText"/>
              <w:rPr>
                <w:b/>
                <w:bCs/>
              </w:rPr>
            </w:pPr>
            <w:r w:rsidRPr="00994BDE">
              <w:rPr>
                <w:b/>
                <w:bCs/>
              </w:rPr>
              <w:t>Class and Series of Convertible Security Shares to be Issued</w:t>
            </w:r>
          </w:p>
        </w:tc>
      </w:tr>
      <w:tr w:rsidR="00B65979" w14:paraId="09621A21" w14:textId="77777777" w:rsidTr="005C42FF">
        <w:tc>
          <w:tcPr>
            <w:tcW w:w="1871" w:type="dxa"/>
            <w:vAlign w:val="bottom"/>
          </w:tcPr>
          <w:p w14:paraId="2331BA39" w14:textId="77777777" w:rsidR="00DA2D7C" w:rsidRPr="00994BDE" w:rsidRDefault="00387E3C" w:rsidP="00994BDE">
            <w:pPr>
              <w:pStyle w:val="OHHTableText"/>
              <w:rPr>
                <w:lang w:eastAsia="en-CA"/>
              </w:rPr>
            </w:pPr>
            <w:r w:rsidRPr="00994BDE">
              <w:rPr>
                <w:rFonts w:ascii="Wingdings" w:eastAsia="Calibri" w:hAnsi="Wingdings"/>
              </w:rPr>
              <w:sym w:font="Wingdings" w:char="F06C"/>
            </w:r>
          </w:p>
        </w:tc>
        <w:tc>
          <w:tcPr>
            <w:tcW w:w="1871" w:type="dxa"/>
            <w:vAlign w:val="center"/>
          </w:tcPr>
          <w:p w14:paraId="45C1D74D" w14:textId="77777777" w:rsidR="00DA2D7C" w:rsidRPr="00994BDE" w:rsidRDefault="00387E3C" w:rsidP="00994BDE">
            <w:pPr>
              <w:pStyle w:val="OHHTableText"/>
              <w:rPr>
                <w:rFonts w:eastAsia="Calibri"/>
              </w:rPr>
            </w:pPr>
            <w:r w:rsidRPr="00994BDE">
              <w:rPr>
                <w:rFonts w:ascii="Wingdings" w:eastAsia="Calibri" w:hAnsi="Wingdings"/>
              </w:rPr>
              <w:sym w:font="Wingdings" w:char="F06C"/>
            </w:r>
          </w:p>
        </w:tc>
        <w:tc>
          <w:tcPr>
            <w:tcW w:w="1871" w:type="dxa"/>
            <w:vAlign w:val="center"/>
          </w:tcPr>
          <w:p w14:paraId="386D8076" w14:textId="77777777" w:rsidR="00DA2D7C" w:rsidRPr="00994BDE" w:rsidRDefault="00387E3C" w:rsidP="00994BDE">
            <w:pPr>
              <w:pStyle w:val="OHHTableText"/>
              <w:rPr>
                <w:lang w:eastAsia="en-CA"/>
              </w:rPr>
            </w:pPr>
            <w:r w:rsidRPr="00994BDE">
              <w:rPr>
                <w:rFonts w:ascii="Wingdings" w:eastAsia="Calibri" w:hAnsi="Wingdings"/>
              </w:rPr>
              <w:sym w:font="Wingdings" w:char="F06C"/>
            </w:r>
          </w:p>
        </w:tc>
        <w:tc>
          <w:tcPr>
            <w:tcW w:w="1871" w:type="dxa"/>
          </w:tcPr>
          <w:p w14:paraId="5BE60063" w14:textId="77777777" w:rsidR="00DA2D7C" w:rsidRPr="00994BDE" w:rsidRDefault="00387E3C" w:rsidP="00994BDE">
            <w:pPr>
              <w:pStyle w:val="OHHTableText"/>
              <w:rPr>
                <w:rFonts w:eastAsia="Calibri"/>
              </w:rPr>
            </w:pPr>
            <w:r w:rsidRPr="00994BDE">
              <w:rPr>
                <w:rFonts w:ascii="Wingdings" w:eastAsia="Calibri" w:hAnsi="Wingdings"/>
              </w:rPr>
              <w:sym w:font="Wingdings" w:char="F06C"/>
            </w:r>
          </w:p>
        </w:tc>
        <w:tc>
          <w:tcPr>
            <w:tcW w:w="1871" w:type="dxa"/>
          </w:tcPr>
          <w:p w14:paraId="21A9C7C8" w14:textId="77777777" w:rsidR="00DA2D7C" w:rsidRPr="00994BDE" w:rsidRDefault="00387E3C" w:rsidP="00994BDE">
            <w:pPr>
              <w:pStyle w:val="OHHTableText"/>
              <w:rPr>
                <w:lang w:eastAsia="en-CA"/>
              </w:rPr>
            </w:pPr>
            <w:r w:rsidRPr="00994BDE">
              <w:rPr>
                <w:rFonts w:ascii="Wingdings" w:eastAsia="Calibri" w:hAnsi="Wingdings"/>
              </w:rPr>
              <w:sym w:font="Wingdings" w:char="F06C"/>
            </w:r>
          </w:p>
        </w:tc>
      </w:tr>
      <w:tr w:rsidR="00B65979" w14:paraId="32B452C6" w14:textId="77777777" w:rsidTr="005C42FF">
        <w:tc>
          <w:tcPr>
            <w:tcW w:w="1871" w:type="dxa"/>
            <w:vAlign w:val="bottom"/>
          </w:tcPr>
          <w:p w14:paraId="139108A2" w14:textId="77777777" w:rsidR="00DA2D7C" w:rsidRPr="00994BDE" w:rsidRDefault="00387E3C" w:rsidP="00994BDE">
            <w:pPr>
              <w:pStyle w:val="OHHTableText"/>
              <w:rPr>
                <w:rFonts w:eastAsia="Calibri"/>
              </w:rPr>
            </w:pPr>
            <w:r w:rsidRPr="00994BDE">
              <w:rPr>
                <w:rFonts w:ascii="Wingdings" w:eastAsia="Calibri" w:hAnsi="Wingdings"/>
              </w:rPr>
              <w:sym w:font="Wingdings" w:char="F06C"/>
            </w:r>
          </w:p>
        </w:tc>
        <w:tc>
          <w:tcPr>
            <w:tcW w:w="1871" w:type="dxa"/>
            <w:vAlign w:val="center"/>
          </w:tcPr>
          <w:p w14:paraId="3E04DB82" w14:textId="77777777" w:rsidR="00DA2D7C" w:rsidRPr="00994BDE" w:rsidRDefault="00387E3C" w:rsidP="00994BDE">
            <w:pPr>
              <w:pStyle w:val="OHHTableText"/>
              <w:rPr>
                <w:rFonts w:eastAsia="Calibri"/>
              </w:rPr>
            </w:pPr>
            <w:r w:rsidRPr="00994BDE">
              <w:rPr>
                <w:rFonts w:ascii="Wingdings" w:eastAsia="Calibri" w:hAnsi="Wingdings"/>
              </w:rPr>
              <w:sym w:font="Wingdings" w:char="F06C"/>
            </w:r>
          </w:p>
        </w:tc>
        <w:tc>
          <w:tcPr>
            <w:tcW w:w="1871" w:type="dxa"/>
          </w:tcPr>
          <w:p w14:paraId="5B65EDF4" w14:textId="77777777" w:rsidR="00DA2D7C" w:rsidRPr="00994BDE" w:rsidRDefault="00387E3C" w:rsidP="00994BDE">
            <w:pPr>
              <w:pStyle w:val="OHHTableText"/>
              <w:rPr>
                <w:rFonts w:eastAsia="Calibri"/>
              </w:rPr>
            </w:pPr>
            <w:r w:rsidRPr="00994BDE">
              <w:rPr>
                <w:rFonts w:ascii="Wingdings" w:eastAsia="Calibri" w:hAnsi="Wingdings"/>
              </w:rPr>
              <w:sym w:font="Wingdings" w:char="F06C"/>
            </w:r>
          </w:p>
        </w:tc>
        <w:tc>
          <w:tcPr>
            <w:tcW w:w="1871" w:type="dxa"/>
          </w:tcPr>
          <w:p w14:paraId="7066A0C6" w14:textId="77777777" w:rsidR="00DA2D7C" w:rsidRPr="00994BDE" w:rsidRDefault="00387E3C" w:rsidP="00994BDE">
            <w:pPr>
              <w:pStyle w:val="OHHTableText"/>
              <w:rPr>
                <w:rFonts w:eastAsia="Calibri"/>
              </w:rPr>
            </w:pPr>
            <w:r w:rsidRPr="00994BDE">
              <w:rPr>
                <w:rFonts w:ascii="Wingdings" w:eastAsia="Calibri" w:hAnsi="Wingdings"/>
              </w:rPr>
              <w:sym w:font="Wingdings" w:char="F06C"/>
            </w:r>
          </w:p>
        </w:tc>
        <w:tc>
          <w:tcPr>
            <w:tcW w:w="1871" w:type="dxa"/>
          </w:tcPr>
          <w:p w14:paraId="2C32C4CA" w14:textId="77777777" w:rsidR="00DA2D7C" w:rsidRPr="00994BDE" w:rsidRDefault="00387E3C" w:rsidP="00994BDE">
            <w:pPr>
              <w:pStyle w:val="OHHTableText"/>
              <w:rPr>
                <w:rFonts w:eastAsia="Calibri"/>
              </w:rPr>
            </w:pPr>
            <w:r w:rsidRPr="00994BDE">
              <w:rPr>
                <w:rFonts w:ascii="Wingdings" w:eastAsia="Calibri" w:hAnsi="Wingdings"/>
              </w:rPr>
              <w:sym w:font="Wingdings" w:char="F06C"/>
            </w:r>
          </w:p>
        </w:tc>
      </w:tr>
      <w:tr w:rsidR="00B65979" w14:paraId="692DF7E2" w14:textId="77777777" w:rsidTr="005C42FF">
        <w:tc>
          <w:tcPr>
            <w:tcW w:w="1871" w:type="dxa"/>
            <w:shd w:val="clear" w:color="auto" w:fill="BFBFBF" w:themeFill="background1" w:themeFillShade="BF"/>
            <w:vAlign w:val="bottom"/>
          </w:tcPr>
          <w:p w14:paraId="4AD84428" w14:textId="77777777" w:rsidR="00DA2D7C" w:rsidRPr="00994BDE" w:rsidRDefault="00387E3C" w:rsidP="00994BDE">
            <w:pPr>
              <w:pStyle w:val="OHHTableText"/>
              <w:rPr>
                <w:b/>
                <w:bCs/>
              </w:rPr>
            </w:pPr>
            <w:r w:rsidRPr="00994BDE">
              <w:rPr>
                <w:b/>
                <w:bCs/>
              </w:rPr>
              <w:t>TOTALS</w:t>
            </w:r>
          </w:p>
        </w:tc>
        <w:tc>
          <w:tcPr>
            <w:tcW w:w="1871" w:type="dxa"/>
            <w:shd w:val="clear" w:color="auto" w:fill="BFBFBF" w:themeFill="background1" w:themeFillShade="BF"/>
            <w:vAlign w:val="center"/>
          </w:tcPr>
          <w:p w14:paraId="65BB7E48" w14:textId="77777777" w:rsidR="00DA2D7C" w:rsidRPr="00994BDE" w:rsidRDefault="00DA2D7C" w:rsidP="00994BDE">
            <w:pPr>
              <w:pStyle w:val="OHHTableText"/>
              <w:rPr>
                <w:rFonts w:eastAsia="Calibri"/>
                <w:b/>
                <w:bCs/>
              </w:rPr>
            </w:pPr>
          </w:p>
        </w:tc>
        <w:tc>
          <w:tcPr>
            <w:tcW w:w="1871" w:type="dxa"/>
            <w:shd w:val="clear" w:color="auto" w:fill="BFBFBF" w:themeFill="background1" w:themeFillShade="BF"/>
            <w:vAlign w:val="center"/>
          </w:tcPr>
          <w:p w14:paraId="64E8827F" w14:textId="77777777" w:rsidR="00DA2D7C" w:rsidRPr="00994BDE" w:rsidRDefault="00DA2D7C" w:rsidP="00994BDE">
            <w:pPr>
              <w:pStyle w:val="OHHTableText"/>
              <w:rPr>
                <w:rFonts w:eastAsia="Calibri"/>
                <w:b/>
                <w:bCs/>
              </w:rPr>
            </w:pPr>
          </w:p>
        </w:tc>
        <w:tc>
          <w:tcPr>
            <w:tcW w:w="1871" w:type="dxa"/>
            <w:shd w:val="clear" w:color="auto" w:fill="BFBFBF" w:themeFill="background1" w:themeFillShade="BF"/>
          </w:tcPr>
          <w:p w14:paraId="46E32305" w14:textId="77777777" w:rsidR="00DA2D7C" w:rsidRPr="00994BDE" w:rsidRDefault="00DA2D7C" w:rsidP="00994BDE">
            <w:pPr>
              <w:pStyle w:val="OHHTableText"/>
              <w:rPr>
                <w:rFonts w:eastAsia="Calibri"/>
                <w:b/>
                <w:bCs/>
              </w:rPr>
            </w:pPr>
          </w:p>
        </w:tc>
        <w:tc>
          <w:tcPr>
            <w:tcW w:w="1871" w:type="dxa"/>
            <w:shd w:val="clear" w:color="auto" w:fill="BFBFBF" w:themeFill="background1" w:themeFillShade="BF"/>
          </w:tcPr>
          <w:p w14:paraId="12C34B57" w14:textId="77777777" w:rsidR="00DA2D7C" w:rsidRPr="00994BDE" w:rsidRDefault="00DA2D7C" w:rsidP="00994BDE">
            <w:pPr>
              <w:pStyle w:val="OHHTableText"/>
              <w:rPr>
                <w:rFonts w:eastAsia="Calibri"/>
                <w:b/>
                <w:bCs/>
              </w:rPr>
            </w:pPr>
          </w:p>
        </w:tc>
      </w:tr>
    </w:tbl>
    <w:p w14:paraId="24E0D8A3" w14:textId="77777777" w:rsidR="00994BDE" w:rsidRDefault="00994BDE" w:rsidP="00994BDE">
      <w:pPr>
        <w:pStyle w:val="OHHpara"/>
        <w:rPr>
          <w:b/>
          <w:i/>
          <w:szCs w:val="24"/>
        </w:rPr>
      </w:pPr>
    </w:p>
    <w:p w14:paraId="238B8A8C" w14:textId="6B5B33D8" w:rsidR="00DA2D7C" w:rsidRPr="003D105E" w:rsidRDefault="00387E3C" w:rsidP="00994BDE">
      <w:pPr>
        <w:pStyle w:val="OHHpara"/>
        <w:rPr>
          <w:szCs w:val="24"/>
        </w:rPr>
      </w:pPr>
      <w:r w:rsidRPr="003D105E">
        <w:rPr>
          <w:b/>
          <w:i/>
          <w:szCs w:val="24"/>
        </w:rPr>
        <w:t xml:space="preserve">Purchasers – Additional </w:t>
      </w:r>
      <w:r w:rsidRPr="00994BDE">
        <w:rPr>
          <w:b/>
          <w:bCs/>
          <w:i/>
          <w:iCs/>
        </w:rPr>
        <w:t>Closings</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1872"/>
        <w:gridCol w:w="1872"/>
        <w:gridCol w:w="1872"/>
        <w:gridCol w:w="1872"/>
      </w:tblGrid>
      <w:tr w:rsidR="00B65979" w14:paraId="27928270" w14:textId="77777777" w:rsidTr="005C42FF">
        <w:trPr>
          <w:trHeight w:val="845"/>
        </w:trPr>
        <w:tc>
          <w:tcPr>
            <w:tcW w:w="1872" w:type="dxa"/>
            <w:shd w:val="clear" w:color="auto" w:fill="BFBFBF" w:themeFill="background1" w:themeFillShade="BF"/>
            <w:vAlign w:val="center"/>
          </w:tcPr>
          <w:p w14:paraId="3B4ED07C" w14:textId="77777777" w:rsidR="00DA2D7C" w:rsidRPr="00994BDE" w:rsidRDefault="00387E3C" w:rsidP="00994BDE">
            <w:pPr>
              <w:pStyle w:val="OHHTableText"/>
              <w:rPr>
                <w:b/>
                <w:bCs/>
              </w:rPr>
            </w:pPr>
            <w:r w:rsidRPr="00994BDE">
              <w:rPr>
                <w:b/>
                <w:bCs/>
              </w:rPr>
              <w:t>Name</w:t>
            </w:r>
          </w:p>
        </w:tc>
        <w:tc>
          <w:tcPr>
            <w:tcW w:w="1872" w:type="dxa"/>
            <w:shd w:val="clear" w:color="auto" w:fill="BFBFBF" w:themeFill="background1" w:themeFillShade="BF"/>
            <w:vAlign w:val="center"/>
          </w:tcPr>
          <w:p w14:paraId="59A104A7" w14:textId="77777777" w:rsidR="00DA2D7C" w:rsidRPr="00994BDE" w:rsidRDefault="00387E3C" w:rsidP="00994BDE">
            <w:pPr>
              <w:pStyle w:val="OHHTableText"/>
              <w:rPr>
                <w:b/>
                <w:bCs/>
              </w:rPr>
            </w:pPr>
            <w:r w:rsidRPr="00994BDE">
              <w:rPr>
                <w:b/>
                <w:bCs/>
              </w:rPr>
              <w:t>Address</w:t>
            </w:r>
          </w:p>
        </w:tc>
        <w:tc>
          <w:tcPr>
            <w:tcW w:w="1872" w:type="dxa"/>
            <w:shd w:val="clear" w:color="auto" w:fill="BFBFBF" w:themeFill="background1" w:themeFillShade="BF"/>
            <w:vAlign w:val="center"/>
          </w:tcPr>
          <w:p w14:paraId="113C722F" w14:textId="77777777" w:rsidR="00DA2D7C" w:rsidRPr="00994BDE" w:rsidRDefault="00387E3C" w:rsidP="00994BDE">
            <w:pPr>
              <w:pStyle w:val="OHHTableText"/>
              <w:rPr>
                <w:b/>
                <w:bCs/>
              </w:rPr>
            </w:pPr>
            <w:r w:rsidRPr="00994BDE">
              <w:rPr>
                <w:b/>
                <w:bCs/>
              </w:rPr>
              <w:t>Number of Series 3 Seed Preferred Shares to be Issued</w:t>
            </w:r>
          </w:p>
        </w:tc>
        <w:tc>
          <w:tcPr>
            <w:tcW w:w="1872" w:type="dxa"/>
            <w:shd w:val="clear" w:color="auto" w:fill="BFBFBF" w:themeFill="background1" w:themeFillShade="BF"/>
            <w:vAlign w:val="center"/>
          </w:tcPr>
          <w:p w14:paraId="56F51DAF" w14:textId="77777777" w:rsidR="00DA2D7C" w:rsidRPr="00994BDE" w:rsidRDefault="00387E3C" w:rsidP="00994BDE">
            <w:pPr>
              <w:pStyle w:val="OHHTableText"/>
              <w:rPr>
                <w:b/>
                <w:bCs/>
              </w:rPr>
            </w:pPr>
            <w:r w:rsidRPr="00994BDE">
              <w:rPr>
                <w:b/>
                <w:bCs/>
              </w:rPr>
              <w:t>Aggregate Purchase Price [C/US]($)</w:t>
            </w:r>
          </w:p>
        </w:tc>
        <w:tc>
          <w:tcPr>
            <w:tcW w:w="1872" w:type="dxa"/>
            <w:shd w:val="clear" w:color="auto" w:fill="BFBFBF" w:themeFill="background1" w:themeFillShade="BF"/>
            <w:vAlign w:val="center"/>
          </w:tcPr>
          <w:p w14:paraId="1480ADA6" w14:textId="77777777" w:rsidR="00DA2D7C" w:rsidRPr="00994BDE" w:rsidRDefault="00387E3C" w:rsidP="00994BDE">
            <w:pPr>
              <w:pStyle w:val="OHHTableText"/>
              <w:rPr>
                <w:b/>
                <w:bCs/>
              </w:rPr>
            </w:pPr>
            <w:r w:rsidRPr="00994BDE">
              <w:rPr>
                <w:b/>
                <w:bCs/>
              </w:rPr>
              <w:t>Closing Date</w:t>
            </w:r>
          </w:p>
        </w:tc>
      </w:tr>
      <w:tr w:rsidR="00B65979" w14:paraId="57D7146A" w14:textId="77777777" w:rsidTr="005C42FF">
        <w:tc>
          <w:tcPr>
            <w:tcW w:w="1872" w:type="dxa"/>
            <w:vAlign w:val="center"/>
          </w:tcPr>
          <w:p w14:paraId="3AA2C0F4" w14:textId="77777777" w:rsidR="00DA2D7C" w:rsidRPr="00994BDE" w:rsidRDefault="00387E3C" w:rsidP="00994BDE">
            <w:pPr>
              <w:pStyle w:val="OHHTableText"/>
              <w:rPr>
                <w:rFonts w:eastAsia="Calibri"/>
              </w:rPr>
            </w:pPr>
            <w:r w:rsidRPr="00994BDE">
              <w:rPr>
                <w:rFonts w:ascii="Wingdings" w:eastAsia="Calibri" w:hAnsi="Wingdings"/>
              </w:rPr>
              <w:sym w:font="Wingdings" w:char="F06C"/>
            </w:r>
          </w:p>
        </w:tc>
        <w:tc>
          <w:tcPr>
            <w:tcW w:w="1872" w:type="dxa"/>
            <w:vAlign w:val="center"/>
          </w:tcPr>
          <w:p w14:paraId="10D1284F" w14:textId="77777777" w:rsidR="00DA2D7C" w:rsidRPr="00994BDE" w:rsidRDefault="00387E3C" w:rsidP="00994BDE">
            <w:pPr>
              <w:pStyle w:val="OHHTableText"/>
              <w:rPr>
                <w:rFonts w:eastAsia="Calibri"/>
              </w:rPr>
            </w:pPr>
            <w:r w:rsidRPr="00994BDE">
              <w:rPr>
                <w:rFonts w:ascii="Wingdings" w:eastAsia="Calibri" w:hAnsi="Wingdings"/>
              </w:rPr>
              <w:sym w:font="Wingdings" w:char="F06C"/>
            </w:r>
          </w:p>
        </w:tc>
        <w:tc>
          <w:tcPr>
            <w:tcW w:w="1872" w:type="dxa"/>
            <w:vAlign w:val="center"/>
          </w:tcPr>
          <w:p w14:paraId="4304261B" w14:textId="77777777" w:rsidR="00DA2D7C" w:rsidRPr="00994BDE" w:rsidRDefault="00387E3C" w:rsidP="00994BDE">
            <w:pPr>
              <w:pStyle w:val="OHHTableText"/>
              <w:rPr>
                <w:rFonts w:eastAsia="Calibri"/>
                <w:lang w:val="en-US"/>
              </w:rPr>
            </w:pPr>
            <w:r w:rsidRPr="00994BDE">
              <w:rPr>
                <w:rFonts w:ascii="Wingdings" w:eastAsia="Calibri" w:hAnsi="Wingdings"/>
              </w:rPr>
              <w:sym w:font="Wingdings" w:char="F06C"/>
            </w:r>
          </w:p>
        </w:tc>
        <w:tc>
          <w:tcPr>
            <w:tcW w:w="1872" w:type="dxa"/>
            <w:vAlign w:val="center"/>
          </w:tcPr>
          <w:p w14:paraId="1136B79F" w14:textId="77777777" w:rsidR="00DA2D7C" w:rsidRPr="00994BDE" w:rsidRDefault="00387E3C" w:rsidP="00994BDE">
            <w:pPr>
              <w:pStyle w:val="OHHTableText"/>
              <w:rPr>
                <w:rFonts w:eastAsia="Calibri"/>
                <w:lang w:val="en-US"/>
              </w:rPr>
            </w:pPr>
            <w:r w:rsidRPr="00994BDE">
              <w:rPr>
                <w:rFonts w:ascii="Wingdings" w:eastAsia="Calibri" w:hAnsi="Wingdings"/>
              </w:rPr>
              <w:sym w:font="Wingdings" w:char="F06C"/>
            </w:r>
          </w:p>
        </w:tc>
        <w:tc>
          <w:tcPr>
            <w:tcW w:w="1872" w:type="dxa"/>
            <w:vAlign w:val="center"/>
          </w:tcPr>
          <w:p w14:paraId="7B2F121E" w14:textId="77777777" w:rsidR="00DA2D7C" w:rsidRPr="00994BDE" w:rsidRDefault="00387E3C" w:rsidP="00994BDE">
            <w:pPr>
              <w:pStyle w:val="OHHTableText"/>
              <w:rPr>
                <w:rFonts w:eastAsia="Calibri"/>
              </w:rPr>
            </w:pPr>
            <w:r w:rsidRPr="00994BDE">
              <w:rPr>
                <w:rFonts w:ascii="Wingdings" w:eastAsia="Calibri" w:hAnsi="Wingdings"/>
              </w:rPr>
              <w:sym w:font="Wingdings" w:char="F06C"/>
            </w:r>
          </w:p>
        </w:tc>
      </w:tr>
      <w:tr w:rsidR="00B65979" w14:paraId="1A5C8967" w14:textId="77777777" w:rsidTr="005C42FF">
        <w:tc>
          <w:tcPr>
            <w:tcW w:w="1872" w:type="dxa"/>
            <w:vAlign w:val="center"/>
          </w:tcPr>
          <w:p w14:paraId="713708BC" w14:textId="77777777" w:rsidR="00DA2D7C" w:rsidRPr="00994BDE" w:rsidRDefault="00387E3C" w:rsidP="00994BDE">
            <w:pPr>
              <w:pStyle w:val="OHHTableText"/>
              <w:rPr>
                <w:rFonts w:eastAsia="Calibri"/>
              </w:rPr>
            </w:pPr>
            <w:r w:rsidRPr="00994BDE">
              <w:rPr>
                <w:rFonts w:ascii="Wingdings" w:eastAsia="Calibri" w:hAnsi="Wingdings"/>
              </w:rPr>
              <w:sym w:font="Wingdings" w:char="F06C"/>
            </w:r>
          </w:p>
        </w:tc>
        <w:tc>
          <w:tcPr>
            <w:tcW w:w="1872" w:type="dxa"/>
            <w:vAlign w:val="center"/>
          </w:tcPr>
          <w:p w14:paraId="67571984" w14:textId="77777777" w:rsidR="00DA2D7C" w:rsidRPr="00994BDE" w:rsidRDefault="00387E3C" w:rsidP="00994BDE">
            <w:pPr>
              <w:pStyle w:val="OHHTableText"/>
              <w:rPr>
                <w:rFonts w:eastAsia="Calibri"/>
              </w:rPr>
            </w:pPr>
            <w:r w:rsidRPr="00994BDE">
              <w:rPr>
                <w:rFonts w:ascii="Wingdings" w:eastAsia="Calibri" w:hAnsi="Wingdings"/>
              </w:rPr>
              <w:sym w:font="Wingdings" w:char="F06C"/>
            </w:r>
          </w:p>
        </w:tc>
        <w:tc>
          <w:tcPr>
            <w:tcW w:w="1872" w:type="dxa"/>
            <w:vAlign w:val="center"/>
          </w:tcPr>
          <w:p w14:paraId="137ADBA9" w14:textId="77777777" w:rsidR="00DA2D7C" w:rsidRPr="00994BDE" w:rsidRDefault="00387E3C" w:rsidP="00994BDE">
            <w:pPr>
              <w:pStyle w:val="OHHTableText"/>
              <w:rPr>
                <w:rFonts w:eastAsia="Calibri"/>
              </w:rPr>
            </w:pPr>
            <w:r w:rsidRPr="00994BDE">
              <w:rPr>
                <w:rFonts w:ascii="Wingdings" w:eastAsia="Calibri" w:hAnsi="Wingdings"/>
              </w:rPr>
              <w:sym w:font="Wingdings" w:char="F06C"/>
            </w:r>
          </w:p>
        </w:tc>
        <w:tc>
          <w:tcPr>
            <w:tcW w:w="1872" w:type="dxa"/>
            <w:vAlign w:val="center"/>
          </w:tcPr>
          <w:p w14:paraId="6B499BCA" w14:textId="77777777" w:rsidR="00DA2D7C" w:rsidRPr="00994BDE" w:rsidRDefault="00387E3C" w:rsidP="00994BDE">
            <w:pPr>
              <w:pStyle w:val="OHHTableText"/>
              <w:rPr>
                <w:rFonts w:eastAsia="Calibri"/>
              </w:rPr>
            </w:pPr>
            <w:r w:rsidRPr="00994BDE">
              <w:rPr>
                <w:rFonts w:ascii="Wingdings" w:eastAsia="Calibri" w:hAnsi="Wingdings"/>
              </w:rPr>
              <w:sym w:font="Wingdings" w:char="F06C"/>
            </w:r>
          </w:p>
        </w:tc>
        <w:tc>
          <w:tcPr>
            <w:tcW w:w="1872" w:type="dxa"/>
            <w:vAlign w:val="center"/>
          </w:tcPr>
          <w:p w14:paraId="01EA7379" w14:textId="77777777" w:rsidR="00DA2D7C" w:rsidRPr="00994BDE" w:rsidRDefault="00387E3C" w:rsidP="00994BDE">
            <w:pPr>
              <w:pStyle w:val="OHHTableText"/>
              <w:rPr>
                <w:rFonts w:eastAsia="Calibri"/>
              </w:rPr>
            </w:pPr>
            <w:r w:rsidRPr="00994BDE">
              <w:rPr>
                <w:rFonts w:ascii="Wingdings" w:eastAsia="Calibri" w:hAnsi="Wingdings"/>
              </w:rPr>
              <w:sym w:font="Wingdings" w:char="F06C"/>
            </w:r>
          </w:p>
        </w:tc>
      </w:tr>
      <w:tr w:rsidR="00B65979" w14:paraId="1287BE8B" w14:textId="77777777" w:rsidTr="005C42FF">
        <w:tc>
          <w:tcPr>
            <w:tcW w:w="1872" w:type="dxa"/>
            <w:shd w:val="clear" w:color="auto" w:fill="BFBFBF" w:themeFill="background1" w:themeFillShade="BF"/>
            <w:vAlign w:val="center"/>
          </w:tcPr>
          <w:p w14:paraId="6B1000D8" w14:textId="77777777" w:rsidR="00DA2D7C" w:rsidRPr="00994BDE" w:rsidRDefault="00387E3C" w:rsidP="00994BDE">
            <w:pPr>
              <w:pStyle w:val="OHHTableText"/>
              <w:rPr>
                <w:b/>
                <w:bCs/>
              </w:rPr>
            </w:pPr>
            <w:r w:rsidRPr="00994BDE">
              <w:rPr>
                <w:b/>
                <w:bCs/>
              </w:rPr>
              <w:t>TOTALS</w:t>
            </w:r>
          </w:p>
        </w:tc>
        <w:tc>
          <w:tcPr>
            <w:tcW w:w="1872" w:type="dxa"/>
            <w:shd w:val="clear" w:color="auto" w:fill="BFBFBF" w:themeFill="background1" w:themeFillShade="BF"/>
            <w:vAlign w:val="center"/>
          </w:tcPr>
          <w:p w14:paraId="5FFD59CD" w14:textId="77777777" w:rsidR="00DA2D7C" w:rsidRPr="00994BDE" w:rsidRDefault="00DA2D7C" w:rsidP="00994BDE">
            <w:pPr>
              <w:pStyle w:val="OHHTableText"/>
              <w:rPr>
                <w:rFonts w:eastAsia="Calibri"/>
                <w:b/>
                <w:bCs/>
              </w:rPr>
            </w:pPr>
          </w:p>
        </w:tc>
        <w:tc>
          <w:tcPr>
            <w:tcW w:w="1872" w:type="dxa"/>
            <w:shd w:val="clear" w:color="auto" w:fill="BFBFBF" w:themeFill="background1" w:themeFillShade="BF"/>
            <w:vAlign w:val="center"/>
          </w:tcPr>
          <w:p w14:paraId="156AE6B7" w14:textId="77777777" w:rsidR="00DA2D7C" w:rsidRPr="00994BDE" w:rsidRDefault="00DA2D7C" w:rsidP="00994BDE">
            <w:pPr>
              <w:pStyle w:val="OHHTableText"/>
              <w:rPr>
                <w:rFonts w:eastAsia="Calibri"/>
                <w:b/>
                <w:bCs/>
                <w:lang w:val="en-US"/>
              </w:rPr>
            </w:pPr>
          </w:p>
        </w:tc>
        <w:tc>
          <w:tcPr>
            <w:tcW w:w="1872" w:type="dxa"/>
            <w:shd w:val="clear" w:color="auto" w:fill="BFBFBF" w:themeFill="background1" w:themeFillShade="BF"/>
            <w:vAlign w:val="center"/>
          </w:tcPr>
          <w:p w14:paraId="4121BAC5" w14:textId="77777777" w:rsidR="00DA2D7C" w:rsidRPr="00994BDE" w:rsidRDefault="00DA2D7C" w:rsidP="00994BDE">
            <w:pPr>
              <w:pStyle w:val="OHHTableText"/>
              <w:rPr>
                <w:rFonts w:eastAsia="Calibri"/>
                <w:b/>
                <w:bCs/>
                <w:lang w:val="en-US"/>
              </w:rPr>
            </w:pPr>
          </w:p>
        </w:tc>
        <w:tc>
          <w:tcPr>
            <w:tcW w:w="1872" w:type="dxa"/>
            <w:shd w:val="clear" w:color="auto" w:fill="BFBFBF" w:themeFill="background1" w:themeFillShade="BF"/>
            <w:vAlign w:val="center"/>
          </w:tcPr>
          <w:p w14:paraId="4606EB90" w14:textId="77777777" w:rsidR="00DA2D7C" w:rsidRPr="00994BDE" w:rsidRDefault="00DA2D7C" w:rsidP="00994BDE">
            <w:pPr>
              <w:pStyle w:val="OHHTableText"/>
              <w:rPr>
                <w:rFonts w:eastAsia="Calibri"/>
                <w:b/>
                <w:bCs/>
              </w:rPr>
            </w:pPr>
          </w:p>
        </w:tc>
      </w:tr>
    </w:tbl>
    <w:p w14:paraId="7CA59C0E" w14:textId="77777777" w:rsidR="00DA2D7C" w:rsidRDefault="00DA2D7C" w:rsidP="00994BDE">
      <w:pPr>
        <w:pStyle w:val="OHHpara"/>
      </w:pPr>
    </w:p>
    <w:p w14:paraId="14679011" w14:textId="77777777" w:rsidR="00994BDE" w:rsidRDefault="00994BDE" w:rsidP="00994BDE">
      <w:pPr>
        <w:pStyle w:val="OHHpara"/>
        <w:sectPr w:rsidR="00994BDE" w:rsidSect="005110C7">
          <w:headerReference w:type="first" r:id="rId13"/>
          <w:footerReference w:type="first" r:id="rId14"/>
          <w:pgSz w:w="12240" w:h="15840"/>
          <w:pgMar w:top="1440" w:right="1440" w:bottom="1008" w:left="1440" w:header="706" w:footer="706" w:gutter="0"/>
          <w:pgNumType w:start="1"/>
          <w:cols w:space="720"/>
          <w:titlePg/>
          <w:docGrid w:linePitch="360"/>
        </w:sectPr>
      </w:pPr>
    </w:p>
    <w:p w14:paraId="596EDBC7" w14:textId="77777777" w:rsidR="00DA2D7C" w:rsidRPr="003D105E" w:rsidRDefault="00387E3C" w:rsidP="00690E6F">
      <w:pPr>
        <w:pStyle w:val="Schedule"/>
      </w:pPr>
      <w:bookmarkStart w:id="109" w:name="_Toc219945841"/>
      <w:r w:rsidRPr="003D105E">
        <w:t>EXHIBIT</w:t>
      </w:r>
      <w:r w:rsidRPr="00690E6F">
        <w:t xml:space="preserve"> </w:t>
      </w:r>
      <w:bookmarkStart w:id="110" w:name="Ex_B"/>
      <w:r w:rsidRPr="00690E6F">
        <w:t>B</w:t>
      </w:r>
      <w:bookmarkEnd w:id="110"/>
      <w:r w:rsidRPr="003D105E">
        <w:rPr>
          <w:rFonts w:eastAsia="Calibri"/>
        </w:rPr>
        <w:br/>
      </w:r>
      <w:r w:rsidRPr="00690E6F">
        <w:rPr>
          <w:u w:val="none"/>
        </w:rPr>
        <w:t>FORM OF ADOPTION AGREEMENT</w:t>
      </w:r>
      <w:bookmarkEnd w:id="109"/>
    </w:p>
    <w:p w14:paraId="0CF2434D" w14:textId="70EDC11F" w:rsidR="00DA2D7C" w:rsidRPr="003D105E" w:rsidRDefault="00387E3C" w:rsidP="00690E6F">
      <w:pPr>
        <w:pStyle w:val="OHHTab"/>
      </w:pPr>
      <w:r w:rsidRPr="003D105E">
        <w:t xml:space="preserve">This </w:t>
      </w:r>
      <w:r w:rsidRPr="003D105E">
        <w:rPr>
          <w:b/>
          <w:bCs/>
        </w:rPr>
        <w:t>ADOPTION AGREEMENT</w:t>
      </w:r>
      <w:r w:rsidRPr="003D105E">
        <w:t xml:space="preserve"> (the “</w:t>
      </w:r>
      <w:r w:rsidRPr="003D105E">
        <w:rPr>
          <w:b/>
          <w:bCs/>
        </w:rPr>
        <w:t>Adoption Agreement</w:t>
      </w:r>
      <w:r w:rsidRPr="003D105E">
        <w:t>”) is executed on ____________________, ____, by the undersigned (“</w:t>
      </w:r>
      <w:r w:rsidRPr="003D105E">
        <w:rPr>
          <w:b/>
          <w:bCs/>
        </w:rPr>
        <w:t>Purchaser</w:t>
      </w:r>
      <w:r w:rsidRPr="003D105E">
        <w:t>”) pursuant to the terms of that certain Series Seed Share Purchase Agreement dated as of {{Month}} {{Day}}</w:t>
      </w:r>
      <w:r w:rsidRPr="003D105E">
        <w:rPr>
          <w:lang w:val="en-US"/>
        </w:rPr>
        <w:t xml:space="preserve">, {{Year}} </w:t>
      </w:r>
      <w:r w:rsidRPr="003D105E">
        <w:t>(the “</w:t>
      </w:r>
      <w:r w:rsidRPr="003D105E">
        <w:rPr>
          <w:b/>
          <w:bCs/>
        </w:rPr>
        <w:t>Agreement</w:t>
      </w:r>
      <w:r w:rsidRPr="003D105E">
        <w:t>”), by and among [Company Name] (the “</w:t>
      </w:r>
      <w:r w:rsidRPr="003D105E">
        <w:rPr>
          <w:b/>
          <w:bCs/>
        </w:rPr>
        <w:t>Company</w:t>
      </w:r>
      <w:r w:rsidRPr="003D105E">
        <w:t xml:space="preserve">”) and the Purchasers listed on </w:t>
      </w:r>
      <w:r w:rsidRPr="003D105E">
        <w:rPr>
          <w:u w:val="single"/>
        </w:rPr>
        <w:t xml:space="preserve">Exhibit </w:t>
      </w:r>
      <w:r w:rsidR="003A55F0" w:rsidRPr="003A55F0">
        <w:rPr>
          <w:u w:val="single"/>
        </w:rPr>
        <w:fldChar w:fldCharType="begin"/>
      </w:r>
      <w:r w:rsidR="003A55F0" w:rsidRPr="003A55F0">
        <w:rPr>
          <w:u w:val="single"/>
        </w:rPr>
        <w:instrText xml:space="preserve"> REF Ex_A \h  \* MERGEFORMAT </w:instrText>
      </w:r>
      <w:r w:rsidR="003A55F0" w:rsidRPr="003A55F0">
        <w:rPr>
          <w:u w:val="single"/>
        </w:rPr>
      </w:r>
      <w:r w:rsidR="003A55F0" w:rsidRPr="003A55F0">
        <w:rPr>
          <w:u w:val="single"/>
        </w:rPr>
        <w:fldChar w:fldCharType="separate"/>
      </w:r>
      <w:r w:rsidR="006D67B9" w:rsidRPr="006D67B9">
        <w:rPr>
          <w:u w:val="single"/>
        </w:rPr>
        <w:t>A</w:t>
      </w:r>
      <w:r w:rsidR="003A55F0" w:rsidRPr="003A55F0">
        <w:rPr>
          <w:u w:val="single"/>
        </w:rPr>
        <w:fldChar w:fldCharType="end"/>
      </w:r>
      <w:r w:rsidRPr="003D105E">
        <w:t xml:space="preserve"> thereto, as such Agreement may be amended and restated hereafter. Capitalized terms used but not defined in this Adoption Agreement shall have the respective meanings ascribed to such terms in the Agreement. By the execution of this Adoption Agreement, the Purchaser agrees as follows.</w:t>
      </w:r>
    </w:p>
    <w:p w14:paraId="450CAAED" w14:textId="3C0D5092" w:rsidR="00DA2D7C" w:rsidRPr="003D105E" w:rsidRDefault="00387E3C" w:rsidP="00690E6F">
      <w:pPr>
        <w:pStyle w:val="OHHTab"/>
      </w:pPr>
      <w:r w:rsidRPr="003D105E">
        <w:t>1.1</w:t>
      </w:r>
      <w:r w:rsidRPr="003D105E">
        <w:rPr>
          <w:rFonts w:eastAsia="Calibri"/>
        </w:rPr>
        <w:tab/>
      </w:r>
      <w:r w:rsidRPr="003D105E">
        <w:rPr>
          <w:u w:val="single"/>
        </w:rPr>
        <w:t>Acknowledgement</w:t>
      </w:r>
      <w:r w:rsidRPr="003D105E">
        <w:t xml:space="preserve">. Purchaser acknowledges that Purchaser is acquiring </w:t>
      </w:r>
      <w:r w:rsidRPr="003D105E">
        <w:rPr>
          <w:rFonts w:ascii="Wingdings" w:eastAsia="Calibri" w:hAnsi="Wingdings"/>
        </w:rPr>
        <w:sym w:font="Wingdings" w:char="F06C"/>
      </w:r>
      <w:r w:rsidRPr="003D105E">
        <w:t xml:space="preserve"> Series 3 Seed Preferred Shares in the capital of the Company (the “</w:t>
      </w:r>
      <w:r w:rsidRPr="003D105E">
        <w:rPr>
          <w:b/>
          <w:bCs/>
        </w:rPr>
        <w:t>Shares</w:t>
      </w:r>
      <w:r w:rsidRPr="003D105E">
        <w:t>”), for an aggregate purchase price of [C/US]$</w:t>
      </w:r>
      <w:r w:rsidRPr="003D105E">
        <w:rPr>
          <w:rFonts w:ascii="Wingdings" w:eastAsia="Calibri" w:hAnsi="Wingdings"/>
        </w:rPr>
        <w:sym w:font="Wingdings" w:char="F06C"/>
      </w:r>
      <w:r w:rsidRPr="003D105E">
        <w:t xml:space="preserve"> in accordance with </w:t>
      </w:r>
      <w:r w:rsidRPr="003D105E">
        <w:rPr>
          <w:u w:val="single"/>
        </w:rPr>
        <w:t>Section [</w:t>
      </w:r>
      <w:r w:rsidR="0048321D">
        <w:rPr>
          <w:u w:val="single"/>
        </w:rPr>
        <w:fldChar w:fldCharType="begin"/>
      </w:r>
      <w:r w:rsidR="0048321D">
        <w:rPr>
          <w:u w:val="single"/>
        </w:rPr>
        <w:instrText xml:space="preserve"> REF _Ref219942731 \w \h </w:instrText>
      </w:r>
      <w:r w:rsidR="0048321D">
        <w:rPr>
          <w:u w:val="single"/>
        </w:rPr>
      </w:r>
      <w:r w:rsidR="0048321D">
        <w:rPr>
          <w:u w:val="single"/>
        </w:rPr>
        <w:fldChar w:fldCharType="separate"/>
      </w:r>
      <w:r w:rsidR="006D67B9">
        <w:rPr>
          <w:u w:val="single"/>
        </w:rPr>
        <w:t>1.2(b)</w:t>
      </w:r>
      <w:r w:rsidR="0048321D">
        <w:rPr>
          <w:u w:val="single"/>
        </w:rPr>
        <w:fldChar w:fldCharType="end"/>
      </w:r>
      <w:r w:rsidRPr="003D105E">
        <w:rPr>
          <w:u w:val="single"/>
        </w:rPr>
        <w:t>]</w:t>
      </w:r>
      <w:r w:rsidRPr="003D105E">
        <w:t xml:space="preserve"> of the Agreement, in which case Purchaser will be a “Purchaser” for all purposes of the Agreement.</w:t>
      </w:r>
    </w:p>
    <w:p w14:paraId="12062AA8" w14:textId="4736FF11" w:rsidR="00DA2D7C" w:rsidRPr="003D105E" w:rsidRDefault="00387E3C" w:rsidP="00690E6F">
      <w:pPr>
        <w:pStyle w:val="OHHTab"/>
      </w:pPr>
      <w:r w:rsidRPr="003D105E">
        <w:t>1.2</w:t>
      </w:r>
      <w:r w:rsidRPr="003D105E">
        <w:rPr>
          <w:rFonts w:eastAsia="Calibri"/>
        </w:rPr>
        <w:tab/>
      </w:r>
      <w:r w:rsidRPr="003D105E">
        <w:rPr>
          <w:u w:val="single"/>
        </w:rPr>
        <w:t>Agreement</w:t>
      </w:r>
      <w:r w:rsidRPr="003D105E">
        <w:t xml:space="preserve">. Purchaser adopts the Agreement with the same force and effect as if Purchaser were originally a party thereto. The representations and warranties of Purchaser in </w:t>
      </w:r>
      <w:r w:rsidRPr="003D105E">
        <w:rPr>
          <w:u w:val="single"/>
        </w:rPr>
        <w:t>Section [</w:t>
      </w:r>
      <w:r w:rsidR="0048321D">
        <w:rPr>
          <w:u w:val="single"/>
        </w:rPr>
        <w:fldChar w:fldCharType="begin"/>
      </w:r>
      <w:r w:rsidR="0048321D">
        <w:rPr>
          <w:u w:val="single"/>
        </w:rPr>
        <w:instrText xml:space="preserve"> REF _Ref_ContractCompanion_9kb9Ur02C \w \h </w:instrText>
      </w:r>
      <w:r w:rsidR="0048321D">
        <w:rPr>
          <w:u w:val="single"/>
        </w:rPr>
      </w:r>
      <w:r w:rsidR="0048321D">
        <w:rPr>
          <w:u w:val="single"/>
        </w:rPr>
        <w:fldChar w:fldCharType="separate"/>
      </w:r>
      <w:r w:rsidR="006D67B9">
        <w:rPr>
          <w:u w:val="single"/>
        </w:rPr>
        <w:t>3</w:t>
      </w:r>
      <w:r w:rsidR="0048321D">
        <w:rPr>
          <w:u w:val="single"/>
        </w:rPr>
        <w:fldChar w:fldCharType="end"/>
      </w:r>
      <w:r w:rsidRPr="003D105E">
        <w:rPr>
          <w:u w:val="single"/>
        </w:rPr>
        <w:t>]</w:t>
      </w:r>
      <w:r w:rsidRPr="003D105E">
        <w:rPr>
          <w:b/>
          <w:bCs/>
        </w:rPr>
        <w:t xml:space="preserve"> </w:t>
      </w:r>
      <w:r w:rsidRPr="003D105E">
        <w:t>of the Agreement are true and correct in all respect as of the date hereof (except, with respect to any such representation or warranty that by its terms speaks only to a specified date or dates, in which case such representation or warranty shall remain true and correct in all respects at and as of such date or dates).</w:t>
      </w:r>
    </w:p>
    <w:p w14:paraId="119F195E" w14:textId="77777777" w:rsidR="00DA2D7C" w:rsidRPr="003D105E" w:rsidRDefault="00387E3C" w:rsidP="00690E6F">
      <w:pPr>
        <w:pStyle w:val="OHHTab"/>
      </w:pPr>
      <w:r w:rsidRPr="003D105E">
        <w:t>1.3</w:t>
      </w:r>
      <w:r w:rsidRPr="003D105E">
        <w:rPr>
          <w:rFonts w:eastAsia="Calibri"/>
        </w:rPr>
        <w:tab/>
      </w:r>
      <w:r w:rsidRPr="003D105E">
        <w:rPr>
          <w:u w:val="single"/>
        </w:rPr>
        <w:t>Notice</w:t>
      </w:r>
      <w:r w:rsidRPr="003D105E">
        <w:t>. Any notice required or permitted by the Agreement shall be given to Purchaser at the address or email address listed below Purchaser’s signature hereto.</w:t>
      </w:r>
    </w:p>
    <w:tbl>
      <w:tblPr>
        <w:tblStyle w:val="TableGrid2"/>
        <w:tblW w:w="9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1"/>
        <w:gridCol w:w="3128"/>
        <w:gridCol w:w="1040"/>
        <w:gridCol w:w="3311"/>
      </w:tblGrid>
      <w:tr w:rsidR="00B65979" w14:paraId="00A67CD9" w14:textId="77777777" w:rsidTr="009030BB">
        <w:tc>
          <w:tcPr>
            <w:tcW w:w="1243" w:type="dxa"/>
            <w:vMerge w:val="restart"/>
            <w:vAlign w:val="bottom"/>
          </w:tcPr>
          <w:p w14:paraId="1F9CF6AE" w14:textId="77777777" w:rsidR="00DA2D7C" w:rsidRPr="00690E6F" w:rsidRDefault="00387E3C" w:rsidP="00690E6F">
            <w:pPr>
              <w:pStyle w:val="OHHTableText"/>
              <w:rPr>
                <w:b/>
                <w:bCs/>
              </w:rPr>
            </w:pPr>
            <w:r w:rsidRPr="00690E6F">
              <w:rPr>
                <w:b/>
                <w:bCs/>
              </w:rPr>
              <w:t>PURCHASER:</w:t>
            </w:r>
          </w:p>
        </w:tc>
        <w:tc>
          <w:tcPr>
            <w:tcW w:w="3456" w:type="dxa"/>
            <w:vMerge w:val="restart"/>
            <w:tcBorders>
              <w:bottom w:val="single" w:sz="4" w:space="0" w:color="auto"/>
            </w:tcBorders>
            <w:vAlign w:val="bottom"/>
          </w:tcPr>
          <w:p w14:paraId="63B02848" w14:textId="77777777" w:rsidR="00DA2D7C" w:rsidRPr="003D105E" w:rsidRDefault="00DA2D7C" w:rsidP="00690E6F">
            <w:pPr>
              <w:pStyle w:val="OHHTableText"/>
            </w:pPr>
          </w:p>
        </w:tc>
        <w:tc>
          <w:tcPr>
            <w:tcW w:w="1061" w:type="dxa"/>
            <w:vMerge w:val="restart"/>
            <w:vAlign w:val="bottom"/>
          </w:tcPr>
          <w:p w14:paraId="78063F66" w14:textId="77777777" w:rsidR="00DA2D7C" w:rsidRPr="003D105E" w:rsidRDefault="00DA2D7C" w:rsidP="00690E6F">
            <w:pPr>
              <w:pStyle w:val="OHHTableText"/>
            </w:pPr>
          </w:p>
        </w:tc>
        <w:tc>
          <w:tcPr>
            <w:tcW w:w="3510" w:type="dxa"/>
            <w:vAlign w:val="bottom"/>
          </w:tcPr>
          <w:p w14:paraId="22BB25D1" w14:textId="77777777" w:rsidR="00DA2D7C" w:rsidRPr="003D105E" w:rsidRDefault="00387E3C" w:rsidP="00690E6F">
            <w:pPr>
              <w:pStyle w:val="OHHTableText"/>
            </w:pPr>
            <w:r w:rsidRPr="003D105E">
              <w:t>AGREED AND ACCEPTED:</w:t>
            </w:r>
          </w:p>
        </w:tc>
      </w:tr>
      <w:tr w:rsidR="00B65979" w14:paraId="49002EA5" w14:textId="77777777" w:rsidTr="009030BB">
        <w:trPr>
          <w:trHeight w:val="576"/>
        </w:trPr>
        <w:tc>
          <w:tcPr>
            <w:tcW w:w="1243" w:type="dxa"/>
            <w:vMerge/>
            <w:vAlign w:val="bottom"/>
          </w:tcPr>
          <w:p w14:paraId="0E1053F9" w14:textId="77777777" w:rsidR="00DA2D7C" w:rsidRPr="003D105E" w:rsidRDefault="00DA2D7C" w:rsidP="00690E6F">
            <w:pPr>
              <w:pStyle w:val="OHHTableText"/>
            </w:pPr>
          </w:p>
        </w:tc>
        <w:tc>
          <w:tcPr>
            <w:tcW w:w="3456" w:type="dxa"/>
            <w:vMerge/>
            <w:tcBorders>
              <w:bottom w:val="single" w:sz="4" w:space="0" w:color="auto"/>
            </w:tcBorders>
            <w:vAlign w:val="bottom"/>
          </w:tcPr>
          <w:p w14:paraId="23722158" w14:textId="77777777" w:rsidR="00DA2D7C" w:rsidRPr="003D105E" w:rsidRDefault="00DA2D7C" w:rsidP="00690E6F">
            <w:pPr>
              <w:pStyle w:val="OHHTableText"/>
            </w:pPr>
          </w:p>
        </w:tc>
        <w:tc>
          <w:tcPr>
            <w:tcW w:w="1061" w:type="dxa"/>
            <w:vMerge/>
            <w:vAlign w:val="bottom"/>
          </w:tcPr>
          <w:p w14:paraId="6C76008D" w14:textId="77777777" w:rsidR="00DA2D7C" w:rsidRPr="003D105E" w:rsidRDefault="00DA2D7C" w:rsidP="00690E6F">
            <w:pPr>
              <w:pStyle w:val="OHHTableText"/>
            </w:pPr>
          </w:p>
        </w:tc>
        <w:tc>
          <w:tcPr>
            <w:tcW w:w="3510" w:type="dxa"/>
            <w:vAlign w:val="bottom"/>
          </w:tcPr>
          <w:p w14:paraId="05FFFFAC" w14:textId="77777777" w:rsidR="00DA2D7C" w:rsidRPr="00690E6F" w:rsidRDefault="00387E3C" w:rsidP="00690E6F">
            <w:pPr>
              <w:pStyle w:val="OHHTableText"/>
              <w:rPr>
                <w:b/>
                <w:bCs/>
              </w:rPr>
            </w:pPr>
            <w:r w:rsidRPr="00690E6F">
              <w:rPr>
                <w:b/>
                <w:bCs/>
              </w:rPr>
              <w:t>[COMPANY NAME]</w:t>
            </w:r>
          </w:p>
        </w:tc>
      </w:tr>
      <w:tr w:rsidR="00B65979" w14:paraId="6B351AAA" w14:textId="77777777" w:rsidTr="009030BB">
        <w:trPr>
          <w:trHeight w:val="576"/>
        </w:trPr>
        <w:tc>
          <w:tcPr>
            <w:tcW w:w="1243" w:type="dxa"/>
            <w:vAlign w:val="bottom"/>
          </w:tcPr>
          <w:p w14:paraId="270A3C85" w14:textId="77777777" w:rsidR="00DA2D7C" w:rsidRPr="003D105E" w:rsidRDefault="00387E3C" w:rsidP="00E94478">
            <w:pPr>
              <w:pStyle w:val="OHHTableText"/>
              <w:jc w:val="right"/>
            </w:pPr>
            <w:r w:rsidRPr="003D105E">
              <w:t>By:</w:t>
            </w:r>
          </w:p>
        </w:tc>
        <w:tc>
          <w:tcPr>
            <w:tcW w:w="3456" w:type="dxa"/>
            <w:tcBorders>
              <w:top w:val="single" w:sz="4" w:space="0" w:color="auto"/>
              <w:bottom w:val="single" w:sz="4" w:space="0" w:color="auto"/>
            </w:tcBorders>
            <w:vAlign w:val="bottom"/>
          </w:tcPr>
          <w:p w14:paraId="4EC08638" w14:textId="77777777" w:rsidR="00DA2D7C" w:rsidRPr="003D105E" w:rsidRDefault="00DA2D7C" w:rsidP="00690E6F">
            <w:pPr>
              <w:pStyle w:val="OHHTableText"/>
            </w:pPr>
          </w:p>
        </w:tc>
        <w:tc>
          <w:tcPr>
            <w:tcW w:w="1061" w:type="dxa"/>
            <w:vAlign w:val="bottom"/>
          </w:tcPr>
          <w:p w14:paraId="4AE9EC42" w14:textId="77777777" w:rsidR="00DA2D7C" w:rsidRPr="003D105E" w:rsidRDefault="00387E3C" w:rsidP="00E94478">
            <w:pPr>
              <w:pStyle w:val="OHHTableText"/>
              <w:jc w:val="right"/>
            </w:pPr>
            <w:r w:rsidRPr="003D105E">
              <w:t>By:</w:t>
            </w:r>
          </w:p>
        </w:tc>
        <w:tc>
          <w:tcPr>
            <w:tcW w:w="3510" w:type="dxa"/>
            <w:tcBorders>
              <w:bottom w:val="single" w:sz="4" w:space="0" w:color="auto"/>
            </w:tcBorders>
            <w:vAlign w:val="bottom"/>
          </w:tcPr>
          <w:p w14:paraId="0B19789F" w14:textId="77777777" w:rsidR="00DA2D7C" w:rsidRPr="003D105E" w:rsidRDefault="00DA2D7C" w:rsidP="00690E6F">
            <w:pPr>
              <w:pStyle w:val="OHHTableText"/>
            </w:pPr>
          </w:p>
        </w:tc>
      </w:tr>
      <w:tr w:rsidR="00B65979" w14:paraId="0A285527" w14:textId="77777777" w:rsidTr="009030BB">
        <w:trPr>
          <w:trHeight w:val="432"/>
        </w:trPr>
        <w:tc>
          <w:tcPr>
            <w:tcW w:w="1243" w:type="dxa"/>
            <w:vAlign w:val="bottom"/>
          </w:tcPr>
          <w:p w14:paraId="6F4CE0B8" w14:textId="77777777" w:rsidR="00DA2D7C" w:rsidRPr="003D105E" w:rsidRDefault="00387E3C" w:rsidP="00E94478">
            <w:pPr>
              <w:pStyle w:val="OHHTableText"/>
              <w:jc w:val="right"/>
            </w:pPr>
            <w:r w:rsidRPr="003D105E">
              <w:t>Name:</w:t>
            </w:r>
          </w:p>
        </w:tc>
        <w:tc>
          <w:tcPr>
            <w:tcW w:w="3456" w:type="dxa"/>
            <w:tcBorders>
              <w:top w:val="single" w:sz="4" w:space="0" w:color="auto"/>
              <w:bottom w:val="single" w:sz="4" w:space="0" w:color="auto"/>
            </w:tcBorders>
            <w:vAlign w:val="bottom"/>
          </w:tcPr>
          <w:p w14:paraId="7355E183" w14:textId="77777777" w:rsidR="00DA2D7C" w:rsidRPr="003D105E" w:rsidRDefault="00DA2D7C" w:rsidP="00690E6F">
            <w:pPr>
              <w:pStyle w:val="OHHTableText"/>
            </w:pPr>
          </w:p>
        </w:tc>
        <w:tc>
          <w:tcPr>
            <w:tcW w:w="1061" w:type="dxa"/>
            <w:vAlign w:val="bottom"/>
          </w:tcPr>
          <w:p w14:paraId="40B9435E" w14:textId="77777777" w:rsidR="00DA2D7C" w:rsidRPr="003D105E" w:rsidRDefault="00387E3C" w:rsidP="00E94478">
            <w:pPr>
              <w:pStyle w:val="OHHTableText"/>
              <w:jc w:val="right"/>
            </w:pPr>
            <w:r w:rsidRPr="003D105E">
              <w:t>Name:</w:t>
            </w:r>
          </w:p>
        </w:tc>
        <w:tc>
          <w:tcPr>
            <w:tcW w:w="3510" w:type="dxa"/>
            <w:tcBorders>
              <w:top w:val="single" w:sz="4" w:space="0" w:color="auto"/>
              <w:bottom w:val="single" w:sz="4" w:space="0" w:color="auto"/>
            </w:tcBorders>
            <w:vAlign w:val="bottom"/>
          </w:tcPr>
          <w:p w14:paraId="1E5A52D4" w14:textId="77777777" w:rsidR="00DA2D7C" w:rsidRPr="003D105E" w:rsidRDefault="00DA2D7C" w:rsidP="00690E6F">
            <w:pPr>
              <w:pStyle w:val="OHHTableText"/>
            </w:pPr>
          </w:p>
        </w:tc>
      </w:tr>
      <w:tr w:rsidR="00B65979" w14:paraId="70911F5B" w14:textId="77777777" w:rsidTr="009030BB">
        <w:trPr>
          <w:trHeight w:val="432"/>
        </w:trPr>
        <w:tc>
          <w:tcPr>
            <w:tcW w:w="1243" w:type="dxa"/>
            <w:vAlign w:val="bottom"/>
          </w:tcPr>
          <w:p w14:paraId="48576D3E" w14:textId="77777777" w:rsidR="00DA2D7C" w:rsidRPr="003D105E" w:rsidRDefault="00387E3C" w:rsidP="00E94478">
            <w:pPr>
              <w:pStyle w:val="OHHTableText"/>
              <w:jc w:val="right"/>
            </w:pPr>
            <w:r w:rsidRPr="003D105E">
              <w:t>Title:</w:t>
            </w:r>
          </w:p>
        </w:tc>
        <w:tc>
          <w:tcPr>
            <w:tcW w:w="3456" w:type="dxa"/>
            <w:tcBorders>
              <w:top w:val="single" w:sz="4" w:space="0" w:color="auto"/>
              <w:bottom w:val="single" w:sz="4" w:space="0" w:color="auto"/>
            </w:tcBorders>
            <w:vAlign w:val="bottom"/>
          </w:tcPr>
          <w:p w14:paraId="5D06C694" w14:textId="77777777" w:rsidR="00DA2D7C" w:rsidRPr="003D105E" w:rsidRDefault="00DA2D7C" w:rsidP="00690E6F">
            <w:pPr>
              <w:pStyle w:val="OHHTableText"/>
            </w:pPr>
          </w:p>
        </w:tc>
        <w:tc>
          <w:tcPr>
            <w:tcW w:w="1061" w:type="dxa"/>
            <w:vAlign w:val="bottom"/>
          </w:tcPr>
          <w:p w14:paraId="67FCFA8C" w14:textId="77777777" w:rsidR="00DA2D7C" w:rsidRPr="003D105E" w:rsidRDefault="00387E3C" w:rsidP="00E94478">
            <w:pPr>
              <w:pStyle w:val="OHHTableText"/>
              <w:jc w:val="right"/>
            </w:pPr>
            <w:r w:rsidRPr="003D105E">
              <w:t>Title:</w:t>
            </w:r>
          </w:p>
        </w:tc>
        <w:tc>
          <w:tcPr>
            <w:tcW w:w="3510" w:type="dxa"/>
            <w:tcBorders>
              <w:top w:val="single" w:sz="4" w:space="0" w:color="auto"/>
              <w:bottom w:val="single" w:sz="4" w:space="0" w:color="auto"/>
            </w:tcBorders>
            <w:vAlign w:val="bottom"/>
          </w:tcPr>
          <w:p w14:paraId="6F24C471" w14:textId="77777777" w:rsidR="00DA2D7C" w:rsidRPr="003D105E" w:rsidRDefault="00DA2D7C" w:rsidP="00690E6F">
            <w:pPr>
              <w:pStyle w:val="OHHTableText"/>
            </w:pPr>
          </w:p>
        </w:tc>
      </w:tr>
      <w:tr w:rsidR="00B65979" w14:paraId="75F2E49D" w14:textId="77777777" w:rsidTr="009030BB">
        <w:trPr>
          <w:trHeight w:val="432"/>
        </w:trPr>
        <w:tc>
          <w:tcPr>
            <w:tcW w:w="1243" w:type="dxa"/>
            <w:vAlign w:val="bottom"/>
          </w:tcPr>
          <w:p w14:paraId="0A6CCD17" w14:textId="77777777" w:rsidR="00DA2D7C" w:rsidRPr="003D105E" w:rsidRDefault="00387E3C" w:rsidP="00E94478">
            <w:pPr>
              <w:pStyle w:val="OHHTableText"/>
              <w:jc w:val="right"/>
            </w:pPr>
            <w:r w:rsidRPr="003D105E">
              <w:t>Address:</w:t>
            </w:r>
          </w:p>
        </w:tc>
        <w:tc>
          <w:tcPr>
            <w:tcW w:w="3456" w:type="dxa"/>
            <w:tcBorders>
              <w:top w:val="single" w:sz="4" w:space="0" w:color="auto"/>
              <w:bottom w:val="single" w:sz="4" w:space="0" w:color="auto"/>
            </w:tcBorders>
            <w:vAlign w:val="bottom"/>
          </w:tcPr>
          <w:p w14:paraId="0B04958B" w14:textId="77777777" w:rsidR="00DA2D7C" w:rsidRPr="003D105E" w:rsidRDefault="00DA2D7C" w:rsidP="00690E6F">
            <w:pPr>
              <w:pStyle w:val="OHHTableText"/>
            </w:pPr>
          </w:p>
        </w:tc>
        <w:tc>
          <w:tcPr>
            <w:tcW w:w="1061" w:type="dxa"/>
            <w:vAlign w:val="bottom"/>
          </w:tcPr>
          <w:p w14:paraId="49E9B316" w14:textId="77777777" w:rsidR="00DA2D7C" w:rsidRPr="003D105E" w:rsidRDefault="00387E3C" w:rsidP="00E94478">
            <w:pPr>
              <w:pStyle w:val="OHHTableText"/>
              <w:jc w:val="right"/>
            </w:pPr>
            <w:r w:rsidRPr="003D105E">
              <w:t>Email:</w:t>
            </w:r>
          </w:p>
        </w:tc>
        <w:tc>
          <w:tcPr>
            <w:tcW w:w="3510" w:type="dxa"/>
            <w:tcBorders>
              <w:top w:val="single" w:sz="4" w:space="0" w:color="auto"/>
              <w:bottom w:val="single" w:sz="4" w:space="0" w:color="auto"/>
            </w:tcBorders>
            <w:vAlign w:val="bottom"/>
          </w:tcPr>
          <w:p w14:paraId="258838AC" w14:textId="77777777" w:rsidR="00DA2D7C" w:rsidRPr="003D105E" w:rsidRDefault="00DA2D7C" w:rsidP="00690E6F">
            <w:pPr>
              <w:pStyle w:val="OHHTableText"/>
            </w:pPr>
          </w:p>
        </w:tc>
      </w:tr>
      <w:tr w:rsidR="00B65979" w14:paraId="7EC5B9D1" w14:textId="77777777" w:rsidTr="009030BB">
        <w:trPr>
          <w:trHeight w:val="432"/>
        </w:trPr>
        <w:tc>
          <w:tcPr>
            <w:tcW w:w="1243" w:type="dxa"/>
            <w:vAlign w:val="bottom"/>
          </w:tcPr>
          <w:p w14:paraId="02395BD7" w14:textId="77777777" w:rsidR="00DA2D7C" w:rsidRPr="003D105E" w:rsidRDefault="00DA2D7C" w:rsidP="00E94478">
            <w:pPr>
              <w:pStyle w:val="OHHTableText"/>
              <w:jc w:val="right"/>
            </w:pPr>
          </w:p>
        </w:tc>
        <w:tc>
          <w:tcPr>
            <w:tcW w:w="3456" w:type="dxa"/>
            <w:tcBorders>
              <w:top w:val="single" w:sz="4" w:space="0" w:color="auto"/>
              <w:bottom w:val="single" w:sz="4" w:space="0" w:color="auto"/>
            </w:tcBorders>
            <w:vAlign w:val="bottom"/>
          </w:tcPr>
          <w:p w14:paraId="6D8503DF" w14:textId="77777777" w:rsidR="00DA2D7C" w:rsidRPr="003D105E" w:rsidRDefault="00DA2D7C" w:rsidP="00690E6F">
            <w:pPr>
              <w:pStyle w:val="OHHTableText"/>
            </w:pPr>
          </w:p>
        </w:tc>
        <w:tc>
          <w:tcPr>
            <w:tcW w:w="1061" w:type="dxa"/>
            <w:vAlign w:val="bottom"/>
          </w:tcPr>
          <w:p w14:paraId="22F267C5" w14:textId="77777777" w:rsidR="00DA2D7C" w:rsidRPr="003D105E" w:rsidRDefault="00DA2D7C" w:rsidP="00E94478">
            <w:pPr>
              <w:pStyle w:val="OHHTableText"/>
              <w:jc w:val="right"/>
            </w:pPr>
          </w:p>
        </w:tc>
        <w:tc>
          <w:tcPr>
            <w:tcW w:w="3510" w:type="dxa"/>
            <w:tcBorders>
              <w:top w:val="single" w:sz="4" w:space="0" w:color="auto"/>
            </w:tcBorders>
            <w:vAlign w:val="bottom"/>
          </w:tcPr>
          <w:p w14:paraId="4883AE62" w14:textId="77777777" w:rsidR="00DA2D7C" w:rsidRPr="003D105E" w:rsidRDefault="00DA2D7C" w:rsidP="00690E6F">
            <w:pPr>
              <w:pStyle w:val="OHHTableText"/>
            </w:pPr>
          </w:p>
        </w:tc>
      </w:tr>
      <w:tr w:rsidR="00B65979" w14:paraId="139C5B23" w14:textId="77777777" w:rsidTr="009030BB">
        <w:trPr>
          <w:trHeight w:val="432"/>
        </w:trPr>
        <w:tc>
          <w:tcPr>
            <w:tcW w:w="1243" w:type="dxa"/>
            <w:vAlign w:val="bottom"/>
          </w:tcPr>
          <w:p w14:paraId="02768D6D" w14:textId="77777777" w:rsidR="00DA2D7C" w:rsidRPr="003D105E" w:rsidRDefault="00387E3C" w:rsidP="00E94478">
            <w:pPr>
              <w:pStyle w:val="OHHTableText"/>
              <w:jc w:val="right"/>
            </w:pPr>
            <w:r w:rsidRPr="003D105E">
              <w:t>Email:</w:t>
            </w:r>
          </w:p>
        </w:tc>
        <w:tc>
          <w:tcPr>
            <w:tcW w:w="3456" w:type="dxa"/>
            <w:tcBorders>
              <w:top w:val="single" w:sz="4" w:space="0" w:color="auto"/>
              <w:bottom w:val="single" w:sz="4" w:space="0" w:color="auto"/>
            </w:tcBorders>
            <w:vAlign w:val="bottom"/>
          </w:tcPr>
          <w:p w14:paraId="191C43E0" w14:textId="77777777" w:rsidR="00DA2D7C" w:rsidRPr="003D105E" w:rsidRDefault="00DA2D7C" w:rsidP="00690E6F">
            <w:pPr>
              <w:pStyle w:val="OHHTableText"/>
            </w:pPr>
          </w:p>
        </w:tc>
        <w:tc>
          <w:tcPr>
            <w:tcW w:w="1061" w:type="dxa"/>
            <w:vAlign w:val="bottom"/>
          </w:tcPr>
          <w:p w14:paraId="6C64A178" w14:textId="77777777" w:rsidR="00DA2D7C" w:rsidRPr="003D105E" w:rsidRDefault="00DA2D7C" w:rsidP="00E94478">
            <w:pPr>
              <w:pStyle w:val="OHHTableText"/>
              <w:jc w:val="right"/>
            </w:pPr>
          </w:p>
        </w:tc>
        <w:tc>
          <w:tcPr>
            <w:tcW w:w="3510" w:type="dxa"/>
            <w:vAlign w:val="bottom"/>
          </w:tcPr>
          <w:p w14:paraId="6B93792B" w14:textId="77777777" w:rsidR="00DA2D7C" w:rsidRPr="003D105E" w:rsidRDefault="00DA2D7C" w:rsidP="00690E6F">
            <w:pPr>
              <w:pStyle w:val="OHHTableText"/>
            </w:pPr>
          </w:p>
        </w:tc>
      </w:tr>
    </w:tbl>
    <w:p w14:paraId="541D4D57" w14:textId="77777777" w:rsidR="00690E6F" w:rsidRDefault="00690E6F" w:rsidP="00690E6F">
      <w:pPr>
        <w:pStyle w:val="OHHpara"/>
        <w:rPr>
          <w:rFonts w:eastAsia="Calibri"/>
        </w:rPr>
      </w:pPr>
    </w:p>
    <w:p w14:paraId="5ACB7993" w14:textId="77777777" w:rsidR="00690E6F" w:rsidRDefault="00690E6F" w:rsidP="00690E6F">
      <w:pPr>
        <w:pStyle w:val="OHHpara"/>
        <w:rPr>
          <w:rFonts w:eastAsia="Calibri"/>
        </w:rPr>
        <w:sectPr w:rsidR="00690E6F" w:rsidSect="005110C7">
          <w:headerReference w:type="first" r:id="rId15"/>
          <w:footerReference w:type="first" r:id="rId16"/>
          <w:pgSz w:w="12240" w:h="15840"/>
          <w:pgMar w:top="1440" w:right="1440" w:bottom="1008" w:left="1440" w:header="706" w:footer="706" w:gutter="0"/>
          <w:pgNumType w:start="1"/>
          <w:cols w:space="720"/>
          <w:titlePg/>
          <w:docGrid w:linePitch="360"/>
        </w:sectPr>
      </w:pPr>
    </w:p>
    <w:p w14:paraId="57126878" w14:textId="77777777" w:rsidR="00DA2D7C" w:rsidRPr="003D105E" w:rsidRDefault="00387E3C" w:rsidP="00690E6F">
      <w:pPr>
        <w:pStyle w:val="Schedule"/>
      </w:pPr>
      <w:bookmarkStart w:id="111" w:name="_Toc219945842"/>
      <w:r w:rsidRPr="003D105E">
        <w:t xml:space="preserve">EXHIBIT </w:t>
      </w:r>
      <w:bookmarkStart w:id="112" w:name="Ex_C"/>
      <w:r w:rsidRPr="00690E6F">
        <w:t>C</w:t>
      </w:r>
      <w:bookmarkEnd w:id="112"/>
      <w:r w:rsidRPr="003D105E">
        <w:rPr>
          <w:rFonts w:eastAsia="Calibri"/>
        </w:rPr>
        <w:br/>
      </w:r>
      <w:r w:rsidRPr="00690E6F">
        <w:rPr>
          <w:u w:val="none"/>
        </w:rPr>
        <w:t>DISCLOSURE SCHEDULE</w:t>
      </w:r>
      <w:bookmarkEnd w:id="111"/>
    </w:p>
    <w:p w14:paraId="783EA021" w14:textId="000C5B2E" w:rsidR="00DA2D7C" w:rsidRPr="003D105E" w:rsidRDefault="00387E3C" w:rsidP="00690E6F">
      <w:pPr>
        <w:pStyle w:val="OHHpara"/>
        <w:rPr>
          <w:lang w:val="en-US"/>
        </w:rPr>
      </w:pPr>
      <w:r w:rsidRPr="003D105E">
        <w:rPr>
          <w:lang w:val="en-US"/>
        </w:rPr>
        <w:t xml:space="preserve">This Disclosure Schedule is made and given pursuant to </w:t>
      </w:r>
      <w:r w:rsidRPr="003D105E">
        <w:rPr>
          <w:u w:val="single"/>
          <w:lang w:val="en-US"/>
        </w:rPr>
        <w:t>Section [</w:t>
      </w:r>
      <w:r w:rsidR="0048321D">
        <w:rPr>
          <w:u w:val="single"/>
          <w:lang w:val="en-US"/>
        </w:rPr>
        <w:fldChar w:fldCharType="begin"/>
      </w:r>
      <w:r w:rsidR="0048321D">
        <w:rPr>
          <w:u w:val="single"/>
          <w:lang w:val="en-US"/>
        </w:rPr>
        <w:instrText xml:space="preserve"> REF _Ref_ContractCompanion_9kb9Ur015 \w \h </w:instrText>
      </w:r>
      <w:r w:rsidR="0048321D">
        <w:rPr>
          <w:u w:val="single"/>
          <w:lang w:val="en-US"/>
        </w:rPr>
      </w:r>
      <w:r w:rsidR="0048321D">
        <w:rPr>
          <w:u w:val="single"/>
          <w:lang w:val="en-US"/>
        </w:rPr>
        <w:fldChar w:fldCharType="separate"/>
      </w:r>
      <w:r w:rsidR="006D67B9">
        <w:rPr>
          <w:u w:val="single"/>
          <w:lang w:val="en-US"/>
        </w:rPr>
        <w:t>2</w:t>
      </w:r>
      <w:r w:rsidR="0048321D">
        <w:rPr>
          <w:u w:val="single"/>
          <w:lang w:val="en-US"/>
        </w:rPr>
        <w:fldChar w:fldCharType="end"/>
      </w:r>
      <w:r w:rsidRPr="003D105E">
        <w:rPr>
          <w:u w:val="single"/>
          <w:lang w:val="en-US"/>
        </w:rPr>
        <w:t>]</w:t>
      </w:r>
      <w:r w:rsidRPr="003D105E">
        <w:rPr>
          <w:lang w:val="en-US"/>
        </w:rPr>
        <w:t xml:space="preserve"> of the Series Seed Preferred Share Purchase Agreement, dated as of </w:t>
      </w:r>
      <w:r w:rsidRPr="003D105E">
        <w:t xml:space="preserve">{{Month}} {{Day}}, {{Year}} by and among the Company </w:t>
      </w:r>
      <w:r w:rsidRPr="003D105E">
        <w:rPr>
          <w:lang w:val="en-US"/>
        </w:rPr>
        <w:t>and the Purchasers (the “</w:t>
      </w:r>
      <w:r w:rsidRPr="003D105E">
        <w:rPr>
          <w:b/>
          <w:lang w:val="en-US"/>
        </w:rPr>
        <w:t>Agreement</w:t>
      </w:r>
      <w:r w:rsidRPr="003D105E">
        <w:rPr>
          <w:lang w:val="en-US"/>
        </w:rPr>
        <w:t>”). All capitalized terms used but not defined herein shall have the meanings as defined in the Agreement, unless otherwise provided. The section numbers below correspond to the section numbers of the representations and warranties in the Agreement; provided, however, that any information disclosed herein under any section number shall be deemed to be disclosed and incorporated into any other section number under the Agreement where such disclosure would be appropriate and such appropriateness is readily apparent from the face of such disclosure.</w:t>
      </w:r>
    </w:p>
    <w:p w14:paraId="1591F858" w14:textId="77777777" w:rsidR="00DA2D7C" w:rsidRPr="003D105E" w:rsidRDefault="00387E3C" w:rsidP="00690E6F">
      <w:pPr>
        <w:pStyle w:val="OHHpara"/>
        <w:rPr>
          <w:lang w:val="en-US"/>
        </w:rPr>
      </w:pPr>
      <w:r w:rsidRPr="003D105E">
        <w:rPr>
          <w:lang w:val="en-US"/>
        </w:rPr>
        <w:t>Nothing in this Disclosure Schedule is intended to broaden the scope of any representation or warranty contained in the Agreement or to create any covenant. Inclusion of any item in this Disclosure Schedule (1) does not represent a determination that such item is material or establish a standard of materiality, (2) does not represent a determination that such item did not arise in the ordinary course of business, (3) does not represent a determination that the transactions contemplated by the Agreement require the consent of third parties, and (4) shall not constitute, or be deemed to be, an admission to any third party concerning such item.</w:t>
      </w:r>
    </w:p>
    <w:p w14:paraId="1BF1003E" w14:textId="77777777" w:rsidR="00DA2D7C" w:rsidRDefault="00387E3C" w:rsidP="00690E6F">
      <w:pPr>
        <w:pStyle w:val="OHHpara"/>
        <w:rPr>
          <w:lang w:val="en-US"/>
        </w:rPr>
      </w:pPr>
      <w:r w:rsidRPr="003D105E">
        <w:rPr>
          <w:lang w:val="en-US"/>
        </w:rPr>
        <w:t>This Disclosure Schedule includes brief descriptions or summaries of certain agreements and instruments. Such descriptions do not purport to be comprehensive and are qualified in their entirety by reference to the text of the documents described, true and complete copies of which have been made available to the Purchasers or their respective counsel.</w:t>
      </w:r>
    </w:p>
    <w:p w14:paraId="6CA87AAC" w14:textId="77777777" w:rsidR="002F4CA3" w:rsidRPr="002F4CA3" w:rsidRDefault="002F4CA3" w:rsidP="002F4CA3">
      <w:pPr>
        <w:rPr>
          <w:lang w:val="en-US"/>
        </w:rPr>
      </w:pPr>
    </w:p>
    <w:p w14:paraId="6CE7A423" w14:textId="77777777" w:rsidR="002F4CA3" w:rsidRPr="002F4CA3" w:rsidRDefault="002F4CA3" w:rsidP="002F4CA3">
      <w:pPr>
        <w:rPr>
          <w:lang w:val="en-US"/>
        </w:rPr>
      </w:pPr>
    </w:p>
    <w:p w14:paraId="0663056E" w14:textId="77777777" w:rsidR="002F4CA3" w:rsidRPr="002F4CA3" w:rsidRDefault="002F4CA3" w:rsidP="002F4CA3">
      <w:pPr>
        <w:rPr>
          <w:lang w:val="en-US"/>
        </w:rPr>
      </w:pPr>
    </w:p>
    <w:p w14:paraId="25FE9962" w14:textId="77777777" w:rsidR="002F4CA3" w:rsidRPr="002F4CA3" w:rsidRDefault="002F4CA3" w:rsidP="002F4CA3">
      <w:pPr>
        <w:rPr>
          <w:lang w:val="en-US"/>
        </w:rPr>
      </w:pPr>
    </w:p>
    <w:p w14:paraId="7AFCA17D" w14:textId="77777777" w:rsidR="002F4CA3" w:rsidRPr="002F4CA3" w:rsidRDefault="002F4CA3" w:rsidP="002F4CA3">
      <w:pPr>
        <w:rPr>
          <w:lang w:val="en-US"/>
        </w:rPr>
      </w:pPr>
    </w:p>
    <w:p w14:paraId="5EEF41FC" w14:textId="77777777" w:rsidR="002F4CA3" w:rsidRPr="002F4CA3" w:rsidRDefault="002F4CA3" w:rsidP="002F4CA3">
      <w:pPr>
        <w:rPr>
          <w:lang w:val="en-US"/>
        </w:rPr>
      </w:pPr>
    </w:p>
    <w:p w14:paraId="2BA0D9C4" w14:textId="77777777" w:rsidR="002F4CA3" w:rsidRPr="002F4CA3" w:rsidRDefault="002F4CA3" w:rsidP="002F4CA3">
      <w:pPr>
        <w:rPr>
          <w:lang w:val="en-US"/>
        </w:rPr>
      </w:pPr>
    </w:p>
    <w:p w14:paraId="26E76755" w14:textId="77777777" w:rsidR="002F4CA3" w:rsidRPr="002F4CA3" w:rsidRDefault="002F4CA3" w:rsidP="002F4CA3">
      <w:pPr>
        <w:rPr>
          <w:lang w:val="en-US"/>
        </w:rPr>
      </w:pPr>
    </w:p>
    <w:p w14:paraId="79DD73BF" w14:textId="77777777" w:rsidR="002F4CA3" w:rsidRPr="002F4CA3" w:rsidRDefault="002F4CA3" w:rsidP="002F4CA3">
      <w:pPr>
        <w:rPr>
          <w:lang w:val="en-US"/>
        </w:rPr>
      </w:pPr>
    </w:p>
    <w:p w14:paraId="2168D79B" w14:textId="77777777" w:rsidR="002F4CA3" w:rsidRPr="002F4CA3" w:rsidRDefault="002F4CA3" w:rsidP="002F4CA3">
      <w:pPr>
        <w:rPr>
          <w:lang w:val="en-US"/>
        </w:rPr>
      </w:pPr>
    </w:p>
    <w:p w14:paraId="5AC1D28A" w14:textId="77777777" w:rsidR="002F4CA3" w:rsidRPr="002F4CA3" w:rsidRDefault="002F4CA3" w:rsidP="002F4CA3">
      <w:pPr>
        <w:rPr>
          <w:lang w:val="en-US"/>
        </w:rPr>
      </w:pPr>
    </w:p>
    <w:p w14:paraId="7A59DB57" w14:textId="77777777" w:rsidR="002F4CA3" w:rsidRPr="002F4CA3" w:rsidRDefault="002F4CA3" w:rsidP="002F4CA3">
      <w:pPr>
        <w:rPr>
          <w:lang w:val="en-US"/>
        </w:rPr>
      </w:pPr>
    </w:p>
    <w:p w14:paraId="1AA0CCA4" w14:textId="77777777" w:rsidR="002F4CA3" w:rsidRPr="002F4CA3" w:rsidRDefault="002F4CA3" w:rsidP="002F4CA3">
      <w:pPr>
        <w:rPr>
          <w:lang w:val="en-US"/>
        </w:rPr>
      </w:pPr>
    </w:p>
    <w:p w14:paraId="52B804FD" w14:textId="77777777" w:rsidR="002F4CA3" w:rsidRPr="002F4CA3" w:rsidRDefault="002F4CA3" w:rsidP="002F4CA3">
      <w:pPr>
        <w:rPr>
          <w:lang w:val="en-US"/>
        </w:rPr>
      </w:pPr>
    </w:p>
    <w:p w14:paraId="52DB45CE" w14:textId="77777777" w:rsidR="002F4CA3" w:rsidRPr="002F4CA3" w:rsidRDefault="002F4CA3" w:rsidP="002F4CA3">
      <w:pPr>
        <w:rPr>
          <w:lang w:val="en-US"/>
        </w:rPr>
      </w:pPr>
    </w:p>
    <w:p w14:paraId="620B482C" w14:textId="77777777" w:rsidR="002F4CA3" w:rsidRPr="002F4CA3" w:rsidRDefault="002F4CA3" w:rsidP="002F4CA3">
      <w:pPr>
        <w:rPr>
          <w:lang w:val="en-US"/>
        </w:rPr>
      </w:pPr>
    </w:p>
    <w:sectPr w:rsidR="002F4CA3" w:rsidRPr="002F4CA3" w:rsidSect="005110C7">
      <w:headerReference w:type="first" r:id="rId17"/>
      <w:footerReference w:type="first" r:id="rId18"/>
      <w:pgSz w:w="12240" w:h="15840"/>
      <w:pgMar w:top="1440" w:right="1440" w:bottom="1008" w:left="1440" w:header="706" w:footer="70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3AF0A" w14:textId="77777777" w:rsidR="007A53E3" w:rsidRDefault="007A53E3">
      <w:r>
        <w:separator/>
      </w:r>
    </w:p>
  </w:endnote>
  <w:endnote w:type="continuationSeparator" w:id="0">
    <w:p w14:paraId="23EB749A" w14:textId="77777777" w:rsidR="007A53E3" w:rsidRDefault="007A5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5A005" w14:textId="35549CA7" w:rsidR="00CA3B9B" w:rsidRPr="00B93339" w:rsidRDefault="00B93339">
    <w:pPr>
      <w:pStyle w:val="Footer"/>
      <w:rPr>
        <w:b/>
        <w:bCs/>
        <w:sz w:val="16"/>
        <w:szCs w:val="16"/>
      </w:rPr>
    </w:pPr>
    <w:bookmarkStart w:id="105" w:name="_Hlk220502736"/>
    <w:bookmarkStart w:id="106" w:name="_Hlk220502737"/>
    <w:r w:rsidRPr="00090DF8">
      <w:rPr>
        <w:b/>
        <w:bCs/>
        <w:sz w:val="16"/>
        <w:szCs w:val="16"/>
      </w:rPr>
      <w:t>© 202</w:t>
    </w:r>
    <w:r w:rsidR="007C466A">
      <w:rPr>
        <w:b/>
        <w:bCs/>
        <w:sz w:val="16"/>
        <w:szCs w:val="16"/>
      </w:rPr>
      <w:t>6</w:t>
    </w:r>
    <w:r w:rsidRPr="00090DF8">
      <w:rPr>
        <w:b/>
        <w:bCs/>
        <w:sz w:val="16"/>
        <w:szCs w:val="16"/>
      </w:rPr>
      <w:t xml:space="preserve"> Osler, Hoskin</w:t>
    </w:r>
    <w:r w:rsidR="00903C4B">
      <w:rPr>
        <w:b/>
        <w:bCs/>
        <w:sz w:val="16"/>
        <w:szCs w:val="16"/>
      </w:rPr>
      <w:t xml:space="preserve"> </w:t>
    </w:r>
    <w:r w:rsidRPr="00090DF8">
      <w:rPr>
        <w:b/>
        <w:bCs/>
        <w:sz w:val="16"/>
        <w:szCs w:val="16"/>
      </w:rPr>
      <w:t>&amp; Harcourt LLP. This template forms part of the Osler Series Seed Financing Template set, available for download at:</w:t>
    </w:r>
    <w:r w:rsidRPr="00090DF8">
      <w:t xml:space="preserve"> </w:t>
    </w:r>
    <w:hyperlink r:id="rId1" w:history="1">
      <w:r w:rsidRPr="00090DF8">
        <w:rPr>
          <w:rStyle w:val="Hyperlink"/>
          <w:b/>
          <w:bCs/>
          <w:sz w:val="16"/>
          <w:szCs w:val="16"/>
        </w:rPr>
        <w:t>osler.com/</w:t>
      </w:r>
      <w:proofErr w:type="spellStart"/>
      <w:r w:rsidRPr="00090DF8">
        <w:rPr>
          <w:rStyle w:val="Hyperlink"/>
          <w:b/>
          <w:bCs/>
          <w:sz w:val="16"/>
          <w:szCs w:val="16"/>
        </w:rPr>
        <w:t>seedtemplates</w:t>
      </w:r>
      <w:proofErr w:type="spellEnd"/>
    </w:hyperlink>
    <w:r>
      <w:t xml:space="preserve"> </w:t>
    </w:r>
    <w:bookmarkEnd w:id="105"/>
    <w:bookmarkEnd w:id="10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BE952" w14:textId="13117942" w:rsidR="00F0255B" w:rsidRDefault="00387E3C" w:rsidP="005110C7">
    <w:pPr>
      <w:pStyle w:val="Footer"/>
      <w:jc w:val="center"/>
    </w:pPr>
    <w:r w:rsidRPr="009C708C">
      <w:rPr>
        <w:i/>
        <w:sz w:val="20"/>
      </w:rPr>
      <w:t xml:space="preserve">Signature Page to </w:t>
    </w:r>
    <w:r w:rsidRPr="00A34036">
      <w:rPr>
        <w:i/>
        <w:sz w:val="20"/>
      </w:rPr>
      <w:t xml:space="preserve">Share Purchase </w:t>
    </w:r>
    <w:r w:rsidRPr="009C708C">
      <w:rPr>
        <w:i/>
        <w:sz w:val="20"/>
      </w:rPr>
      <w:t>Agreement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FBAD" w14:textId="351E9749" w:rsidR="00F0255B" w:rsidRDefault="00387E3C" w:rsidP="005110C7">
    <w:pPr>
      <w:pStyle w:val="Footer"/>
      <w:jc w:val="center"/>
    </w:pPr>
    <w:r w:rsidRPr="00130EAC">
      <w:rPr>
        <w:i/>
        <w:sz w:val="20"/>
      </w:rPr>
      <w:t>Exhibit A to Share Purchase Agreement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BFDA7" w14:textId="0D5ED39E" w:rsidR="00F0255B" w:rsidRDefault="00387E3C" w:rsidP="005110C7">
    <w:pPr>
      <w:pStyle w:val="Footer"/>
      <w:jc w:val="center"/>
    </w:pPr>
    <w:r>
      <w:rPr>
        <w:i/>
        <w:sz w:val="20"/>
      </w:rPr>
      <w:t>Exhibit B</w:t>
    </w:r>
    <w:r w:rsidRPr="009C708C">
      <w:rPr>
        <w:i/>
        <w:sz w:val="20"/>
      </w:rPr>
      <w:t xml:space="preserve"> to </w:t>
    </w:r>
    <w:r>
      <w:rPr>
        <w:i/>
        <w:sz w:val="20"/>
      </w:rPr>
      <w:t>Share Purchase</w:t>
    </w:r>
    <w:r w:rsidRPr="009C708C">
      <w:rPr>
        <w:i/>
        <w:sz w:val="20"/>
      </w:rPr>
      <w:t xml:space="preserve"> Agreement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641AC" w14:textId="143E1FCD" w:rsidR="00F0255B" w:rsidRDefault="00387E3C" w:rsidP="005110C7">
    <w:pPr>
      <w:pStyle w:val="Footer"/>
      <w:jc w:val="center"/>
      <w:rPr>
        <w:i/>
        <w:sz w:val="20"/>
      </w:rPr>
    </w:pPr>
    <w:r>
      <w:rPr>
        <w:i/>
        <w:sz w:val="20"/>
      </w:rPr>
      <w:t>Exhibit C</w:t>
    </w:r>
    <w:r w:rsidRPr="009C708C">
      <w:rPr>
        <w:i/>
        <w:sz w:val="20"/>
      </w:rPr>
      <w:t xml:space="preserve"> to </w:t>
    </w:r>
    <w:r>
      <w:rPr>
        <w:i/>
        <w:sz w:val="20"/>
      </w:rPr>
      <w:t>Share Purchase</w:t>
    </w:r>
    <w:r w:rsidRPr="009C708C">
      <w:rPr>
        <w:i/>
        <w:sz w:val="20"/>
      </w:rPr>
      <w:t xml:space="preserve"> Agreement</w:t>
    </w:r>
  </w:p>
  <w:p w14:paraId="347FC1F3" w14:textId="77777777" w:rsidR="00F335BD" w:rsidRDefault="00F335BD" w:rsidP="005110C7">
    <w:pPr>
      <w:pStyle w:val="Footer"/>
      <w:jc w:val="center"/>
      <w:rPr>
        <w:i/>
        <w:sz w:val="20"/>
      </w:rPr>
    </w:pPr>
  </w:p>
  <w:p w14:paraId="3E503C76" w14:textId="77777777" w:rsidR="00B93339" w:rsidRPr="002F4CA3" w:rsidRDefault="00B93339" w:rsidP="008B21AE">
    <w:pPr>
      <w:pStyle w:val="Footer"/>
      <w:spacing w:before="60"/>
      <w:jc w:val="both"/>
      <w:rPr>
        <w:bCs/>
        <w:sz w:val="15"/>
        <w:szCs w:val="15"/>
      </w:rPr>
    </w:pPr>
    <w:bookmarkStart w:id="113" w:name="_Hlk220502763"/>
    <w:bookmarkStart w:id="114" w:name="_Hlk220502764"/>
    <w:r w:rsidRPr="002F4CA3">
      <w:rPr>
        <w:bCs/>
        <w:sz w:val="15"/>
        <w:szCs w:val="15"/>
      </w:rPr>
      <w:t>Please be aware that, while efforts have been made to ensure the accuracy and utility of the Osler Series Seed Financing Templates, it is provided 'as is', without any representations, warranties, or guarantees of any kind, express or implied, including but not limited to its suitability, completeness, or compliance with applicable laws or regulations. The use of, or reliance on, these templates is entirely at your own risk. You are solely responsible for ensuring that these templates are appropriate for your specific circumstances and comply with all applicable legal requirements.</w:t>
    </w:r>
  </w:p>
  <w:p w14:paraId="272C60FF" w14:textId="77777777" w:rsidR="00B93339" w:rsidRPr="002F4CA3" w:rsidRDefault="00B93339" w:rsidP="008B21AE">
    <w:pPr>
      <w:pStyle w:val="Footer"/>
      <w:spacing w:before="60"/>
      <w:jc w:val="both"/>
      <w:rPr>
        <w:bCs/>
        <w:sz w:val="15"/>
        <w:szCs w:val="15"/>
      </w:rPr>
    </w:pPr>
    <w:r w:rsidRPr="002F4CA3">
      <w:rPr>
        <w:bCs/>
        <w:sz w:val="15"/>
        <w:szCs w:val="15"/>
      </w:rPr>
      <w:t>The provision of the Osler Series Seed Financing Templates is not intended to constitute legal or other advice, and use of the Osler Series Seed Financing Templates does not replace consultations with a qualified legal professional. Your use of the Osler Series Seed Financing Templates does not create a lawyer client relationship.  Please consult one of the lawyers at Osler, Hoskin &amp; Harcourt LLP (or your own legal counsel) for specific recommendations.</w:t>
    </w:r>
  </w:p>
  <w:p w14:paraId="26199405" w14:textId="09298D21" w:rsidR="00B93339" w:rsidRPr="002F4CA3" w:rsidRDefault="00B93339" w:rsidP="008B21AE">
    <w:pPr>
      <w:pStyle w:val="Footer"/>
      <w:spacing w:before="60"/>
      <w:jc w:val="both"/>
      <w:rPr>
        <w:bCs/>
        <w:sz w:val="15"/>
        <w:szCs w:val="15"/>
      </w:rPr>
    </w:pPr>
    <w:r w:rsidRPr="002F4CA3">
      <w:rPr>
        <w:bCs/>
        <w:sz w:val="15"/>
        <w:szCs w:val="15"/>
      </w:rPr>
      <w:t>To the fullest extent permitted by law, we disclaim all liability for any loss, damage, or harm arising from the use or reliance on the Osler Series Seed Financing Templates, whether directly or indirectly. By using these templates, you acknowledge and agree to these terms.</w:t>
    </w:r>
    <w:bookmarkEnd w:id="113"/>
    <w:bookmarkEnd w:id="11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F9432" w14:textId="77777777" w:rsidR="007A53E3" w:rsidRDefault="007A53E3">
      <w:r>
        <w:separator/>
      </w:r>
    </w:p>
  </w:footnote>
  <w:footnote w:type="continuationSeparator" w:id="0">
    <w:p w14:paraId="518701F8" w14:textId="77777777" w:rsidR="007A53E3" w:rsidRDefault="007A53E3">
      <w:r>
        <w:continuationSeparator/>
      </w:r>
    </w:p>
  </w:footnote>
  <w:footnote w:id="1">
    <w:p w14:paraId="47F24658" w14:textId="324488A0" w:rsidR="00DA2D7C" w:rsidRPr="00DA2D7C" w:rsidRDefault="00387E3C">
      <w:pPr>
        <w:pStyle w:val="FootnoteText"/>
        <w:rPr>
          <w:lang w:val="en-US"/>
        </w:rPr>
      </w:pPr>
      <w:r>
        <w:rPr>
          <w:rStyle w:val="FootnoteReference"/>
        </w:rPr>
        <w:footnoteRef/>
      </w:r>
      <w:r>
        <w:t xml:space="preserve"> </w:t>
      </w:r>
      <w:r w:rsidR="00994BDE">
        <w:tab/>
      </w:r>
      <w:r w:rsidRPr="00DA2D7C">
        <w:rPr>
          <w:u w:val="single"/>
        </w:rPr>
        <w:t>Drafting Note</w:t>
      </w:r>
      <w:r w:rsidRPr="00DA2D7C">
        <w:t>: This Share Purchase Agreement assumes that Series 3 Seed Preferred Shares are being issued to the new money investors and that 2 series of Seed Preferred Shares (Series 1 and Series</w:t>
      </w:r>
      <w:r w:rsidR="002A05CF">
        <w:t xml:space="preserve"> 2</w:t>
      </w:r>
      <w:r w:rsidRPr="00DA2D7C">
        <w:t>) are being created to act as ‘shadow series’ to be issued to holders of convertible securities.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A27CB" w14:textId="77777777" w:rsidR="000F48E6" w:rsidRDefault="000F48E6">
    <w:pPr>
      <w:pStyle w:val="Header"/>
    </w:pPr>
  </w:p>
  <w:p w14:paraId="4325571C" w14:textId="77777777" w:rsidR="000F48E6" w:rsidRDefault="000F48E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E0DD3" w14:textId="77777777" w:rsidR="000F48E6" w:rsidRDefault="00387E3C">
    <w:pPr>
      <w:pStyle w:val="Header"/>
      <w:jc w:val="center"/>
      <w:rPr>
        <w:rStyle w:val="PageNumber"/>
      </w:rPr>
    </w:pPr>
    <w:r>
      <w:rPr>
        <w:rStyle w:val="PageNumber"/>
      </w:rPr>
      <w:t xml:space="preserve">- </w:t>
    </w:r>
    <w:r>
      <w:rPr>
        <w:rStyle w:val="PageNumber"/>
      </w:rPr>
      <w:fldChar w:fldCharType="begin"/>
    </w:r>
    <w:r>
      <w:rPr>
        <w:rStyle w:val="PageNumber"/>
      </w:rPr>
      <w:instrText xml:space="preserve"> PAGE  \* MERGEFORMAT </w:instrText>
    </w:r>
    <w:r>
      <w:rPr>
        <w:rStyle w:val="PageNumber"/>
      </w:rPr>
      <w:fldChar w:fldCharType="separate"/>
    </w:r>
    <w:r w:rsidR="00DC0033">
      <w:rPr>
        <w:rStyle w:val="PageNumber"/>
        <w:noProof/>
      </w:rPr>
      <w:t>2</w:t>
    </w:r>
    <w:r>
      <w:rPr>
        <w:rStyle w:val="PageNumber"/>
      </w:rPr>
      <w:fldChar w:fldCharType="end"/>
    </w:r>
    <w:r>
      <w:rPr>
        <w:rStyle w:val="PageNumbe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92DA" w14:textId="77777777" w:rsidR="005110C7" w:rsidRDefault="005110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F4423" w14:textId="77777777" w:rsidR="005110C7" w:rsidRDefault="005110C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88D8F" w14:textId="77777777" w:rsidR="005110C7" w:rsidRDefault="00511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C292FA"/>
    <w:name w:val="UnnamedList94427"/>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B0C2A0E"/>
    <w:name w:val="UnnamedList54619"/>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5D85D62"/>
    <w:name w:val="UnnamedList64501"/>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28CDF32"/>
    <w:name w:val="UnnamedList3613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5362512"/>
    <w:name w:val="UnnamedList8167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9CFF34"/>
    <w:name w:val="UnnamedList24351"/>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FA625A6"/>
    <w:name w:val="UnnamedList6203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E0DFC2"/>
    <w:name w:val="UnnamedList7494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A68AFBC"/>
    <w:name w:val="UnnamedList77493"/>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2249E0"/>
    <w:name w:val="UnnamedList77989"/>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827C82"/>
    <w:multiLevelType w:val="multilevel"/>
    <w:tmpl w:val="BF16421C"/>
    <w:name w:val="Standard"/>
    <w:lvl w:ilvl="0">
      <w:start w:val="1"/>
      <w:numFmt w:val="decimal"/>
      <w:pStyle w:val="StandardL1"/>
      <w:lvlText w:val="%1."/>
      <w:lvlJc w:val="left"/>
      <w:pPr>
        <w:tabs>
          <w:tab w:val="num" w:pos="1440"/>
        </w:tabs>
        <w:ind w:left="720" w:firstLine="0"/>
      </w:pPr>
      <w:rPr>
        <w:b w:val="0"/>
        <w:i w:val="0"/>
        <w:caps w:val="0"/>
        <w:color w:val="000000"/>
        <w:sz w:val="24"/>
        <w:u w:val="none"/>
      </w:rPr>
    </w:lvl>
    <w:lvl w:ilvl="1">
      <w:start w:val="1"/>
      <w:numFmt w:val="decimal"/>
      <w:pStyle w:val="StandardL2"/>
      <w:lvlText w:val="%1.%2"/>
      <w:lvlJc w:val="left"/>
      <w:pPr>
        <w:tabs>
          <w:tab w:val="num" w:pos="2160"/>
        </w:tabs>
        <w:ind w:left="1440" w:firstLine="0"/>
      </w:pPr>
      <w:rPr>
        <w:b w:val="0"/>
        <w:i w:val="0"/>
        <w:caps w:val="0"/>
        <w:color w:val="000000"/>
        <w:sz w:val="24"/>
        <w:u w:val="none"/>
      </w:rPr>
    </w:lvl>
    <w:lvl w:ilvl="2">
      <w:start w:val="1"/>
      <w:numFmt w:val="lowerLetter"/>
      <w:pStyle w:val="StandardL3"/>
      <w:lvlText w:val="(%3)"/>
      <w:lvlJc w:val="left"/>
      <w:pPr>
        <w:tabs>
          <w:tab w:val="num" w:pos="2880"/>
        </w:tabs>
        <w:ind w:left="2160" w:firstLine="0"/>
      </w:pPr>
      <w:rPr>
        <w:b w:val="0"/>
        <w:i w:val="0"/>
        <w:caps w:val="0"/>
        <w:color w:val="000000"/>
        <w:sz w:val="24"/>
        <w:u w:val="none"/>
      </w:rPr>
    </w:lvl>
    <w:lvl w:ilvl="3">
      <w:start w:val="1"/>
      <w:numFmt w:val="lowerRoman"/>
      <w:pStyle w:val="StandardL4"/>
      <w:lvlText w:val="(%4)"/>
      <w:lvlJc w:val="left"/>
      <w:pPr>
        <w:tabs>
          <w:tab w:val="num" w:pos="3600"/>
        </w:tabs>
        <w:ind w:left="2880" w:firstLine="0"/>
      </w:pPr>
      <w:rPr>
        <w:b w:val="0"/>
        <w:i w:val="0"/>
        <w:caps w:val="0"/>
        <w:color w:val="000000"/>
        <w:sz w:val="24"/>
        <w:u w:val="none"/>
      </w:rPr>
    </w:lvl>
    <w:lvl w:ilvl="4">
      <w:start w:val="1"/>
      <w:numFmt w:val="upperLetter"/>
      <w:pStyle w:val="StandardL5"/>
      <w:lvlText w:val="(%5)"/>
      <w:lvlJc w:val="left"/>
      <w:pPr>
        <w:tabs>
          <w:tab w:val="num" w:pos="4320"/>
        </w:tabs>
        <w:ind w:left="3600" w:firstLine="0"/>
      </w:pPr>
      <w:rPr>
        <w:b w:val="0"/>
        <w:i w:val="0"/>
        <w:caps w:val="0"/>
        <w:color w:val="000000"/>
        <w:sz w:val="24"/>
        <w:u w:val="none"/>
      </w:rPr>
    </w:lvl>
    <w:lvl w:ilvl="5">
      <w:start w:val="1"/>
      <w:numFmt w:val="decimal"/>
      <w:pStyle w:val="StandardL6"/>
      <w:lvlText w:val="(%6)"/>
      <w:lvlJc w:val="left"/>
      <w:pPr>
        <w:tabs>
          <w:tab w:val="num" w:pos="5040"/>
        </w:tabs>
        <w:ind w:left="4320" w:firstLine="0"/>
      </w:pPr>
      <w:rPr>
        <w:b w:val="0"/>
        <w:i w:val="0"/>
        <w:caps w:val="0"/>
        <w:color w:val="000000"/>
        <w:sz w:val="24"/>
        <w:u w:val="none"/>
      </w:rPr>
    </w:lvl>
    <w:lvl w:ilvl="6">
      <w:start w:val="1"/>
      <w:numFmt w:val="upperLetter"/>
      <w:pStyle w:val="StandardL7"/>
      <w:lvlText w:val="%7."/>
      <w:lvlJc w:val="left"/>
      <w:pPr>
        <w:tabs>
          <w:tab w:val="num" w:pos="5760"/>
        </w:tabs>
        <w:ind w:left="5040" w:firstLine="0"/>
      </w:pPr>
      <w:rPr>
        <w:b w:val="0"/>
        <w:i w:val="0"/>
        <w:caps w:val="0"/>
        <w:color w:val="000000"/>
        <w:sz w:val="24"/>
        <w:u w:val="none"/>
      </w:rPr>
    </w:lvl>
    <w:lvl w:ilvl="7">
      <w:start w:val="1"/>
      <w:numFmt w:val="upperRoman"/>
      <w:pStyle w:val="StandardL8"/>
      <w:lvlText w:val="%8."/>
      <w:lvlJc w:val="left"/>
      <w:pPr>
        <w:tabs>
          <w:tab w:val="num" w:pos="6480"/>
        </w:tabs>
        <w:ind w:left="5760" w:firstLine="0"/>
      </w:pPr>
      <w:rPr>
        <w:b w:val="0"/>
        <w:i w:val="0"/>
        <w:caps w:val="0"/>
        <w:color w:val="000000"/>
        <w:sz w:val="24"/>
        <w:u w:val="none"/>
      </w:rPr>
    </w:lvl>
    <w:lvl w:ilvl="8">
      <w:start w:val="1"/>
      <w:numFmt w:val="lowerLetter"/>
      <w:pStyle w:val="StandardL9"/>
      <w:lvlText w:val="%9)"/>
      <w:lvlJc w:val="left"/>
      <w:pPr>
        <w:tabs>
          <w:tab w:val="num" w:pos="7200"/>
        </w:tabs>
        <w:ind w:left="6480" w:firstLine="0"/>
      </w:pPr>
      <w:rPr>
        <w:b w:val="0"/>
        <w:i w:val="0"/>
        <w:caps w:val="0"/>
        <w:color w:val="000000"/>
        <w:sz w:val="24"/>
        <w:u w:val="none"/>
      </w:rPr>
    </w:lvl>
  </w:abstractNum>
  <w:num w:numId="1" w16cid:durableId="1876037217">
    <w:abstractNumId w:val="9"/>
  </w:num>
  <w:num w:numId="2" w16cid:durableId="160316436">
    <w:abstractNumId w:val="7"/>
  </w:num>
  <w:num w:numId="3" w16cid:durableId="1590776903">
    <w:abstractNumId w:val="6"/>
  </w:num>
  <w:num w:numId="4" w16cid:durableId="1666779237">
    <w:abstractNumId w:val="5"/>
  </w:num>
  <w:num w:numId="5" w16cid:durableId="1741175025">
    <w:abstractNumId w:val="4"/>
  </w:num>
  <w:num w:numId="6" w16cid:durableId="1538741018">
    <w:abstractNumId w:val="8"/>
  </w:num>
  <w:num w:numId="7" w16cid:durableId="1878349558">
    <w:abstractNumId w:val="3"/>
  </w:num>
  <w:num w:numId="8" w16cid:durableId="801850690">
    <w:abstractNumId w:val="2"/>
  </w:num>
  <w:num w:numId="9" w16cid:durableId="12077932">
    <w:abstractNumId w:val="1"/>
  </w:num>
  <w:num w:numId="10" w16cid:durableId="940070034">
    <w:abstractNumId w:val="0"/>
  </w:num>
  <w:num w:numId="11" w16cid:durableId="1335252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57"/>
  <w:noPunctuationKerning/>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IManageDocInfoCache(AuthorId)" w:val="TMARTINEZ"/>
    <w:docVar w:name="IManageDocInfoCache(ClientId)" w:val="100021"/>
    <w:docVar w:name="IManageDocInfoCache(DatabaseName)" w:val="LEGAL_1"/>
    <w:docVar w:name="IManageDocInfoCache(DocumentDescription)" w:val="Osler Series Seed Financing Template - Share Purchase Agreement"/>
    <w:docVar w:name="IManageDocInfoCache(DocumentNumber)" w:val="106862045"/>
    <w:docVar w:name="IManageDocInfoCache(DocumentVersion)" w:val="1"/>
    <w:docVar w:name="IManageDocInfoCache(Matter)" w:val="1181781"/>
  </w:docVars>
  <w:rsids>
    <w:rsidRoot w:val="00DE5F8D"/>
    <w:rsid w:val="00000DB7"/>
    <w:rsid w:val="00030830"/>
    <w:rsid w:val="00090DF8"/>
    <w:rsid w:val="000C5A46"/>
    <w:rsid w:val="000F48E6"/>
    <w:rsid w:val="00100AD5"/>
    <w:rsid w:val="001100D2"/>
    <w:rsid w:val="00130EAC"/>
    <w:rsid w:val="00174ED2"/>
    <w:rsid w:val="00185B92"/>
    <w:rsid w:val="002479CC"/>
    <w:rsid w:val="002A05CF"/>
    <w:rsid w:val="002C392D"/>
    <w:rsid w:val="002F4CA3"/>
    <w:rsid w:val="003211F9"/>
    <w:rsid w:val="003426A5"/>
    <w:rsid w:val="00344A24"/>
    <w:rsid w:val="00355772"/>
    <w:rsid w:val="00380D17"/>
    <w:rsid w:val="00387E3C"/>
    <w:rsid w:val="003A55F0"/>
    <w:rsid w:val="003D105E"/>
    <w:rsid w:val="00414B9D"/>
    <w:rsid w:val="004570F1"/>
    <w:rsid w:val="0048321D"/>
    <w:rsid w:val="004C432D"/>
    <w:rsid w:val="004D0389"/>
    <w:rsid w:val="004D7A8A"/>
    <w:rsid w:val="005110C7"/>
    <w:rsid w:val="005216F1"/>
    <w:rsid w:val="00547B76"/>
    <w:rsid w:val="0055289E"/>
    <w:rsid w:val="00595E88"/>
    <w:rsid w:val="005C42FF"/>
    <w:rsid w:val="005F6EBF"/>
    <w:rsid w:val="0068530E"/>
    <w:rsid w:val="00690E6F"/>
    <w:rsid w:val="006C6C15"/>
    <w:rsid w:val="006D67B9"/>
    <w:rsid w:val="0071226D"/>
    <w:rsid w:val="00734D27"/>
    <w:rsid w:val="007939E3"/>
    <w:rsid w:val="007962C4"/>
    <w:rsid w:val="007A53E3"/>
    <w:rsid w:val="007C466A"/>
    <w:rsid w:val="007D4F2B"/>
    <w:rsid w:val="00894F63"/>
    <w:rsid w:val="008B21AE"/>
    <w:rsid w:val="008D3779"/>
    <w:rsid w:val="00903C4B"/>
    <w:rsid w:val="009327DC"/>
    <w:rsid w:val="00985861"/>
    <w:rsid w:val="00994BDE"/>
    <w:rsid w:val="009B086C"/>
    <w:rsid w:val="009C093D"/>
    <w:rsid w:val="009C708C"/>
    <w:rsid w:val="00A15750"/>
    <w:rsid w:val="00A34036"/>
    <w:rsid w:val="00AA6A29"/>
    <w:rsid w:val="00B23A2A"/>
    <w:rsid w:val="00B53CD1"/>
    <w:rsid w:val="00B65979"/>
    <w:rsid w:val="00B845CF"/>
    <w:rsid w:val="00B91BDB"/>
    <w:rsid w:val="00B93339"/>
    <w:rsid w:val="00BE29A1"/>
    <w:rsid w:val="00C4506D"/>
    <w:rsid w:val="00CA3B9B"/>
    <w:rsid w:val="00D470A7"/>
    <w:rsid w:val="00D67EA5"/>
    <w:rsid w:val="00D7668D"/>
    <w:rsid w:val="00DA2D7C"/>
    <w:rsid w:val="00DA7A31"/>
    <w:rsid w:val="00DC0033"/>
    <w:rsid w:val="00DC2217"/>
    <w:rsid w:val="00DC4FAF"/>
    <w:rsid w:val="00DE5F8D"/>
    <w:rsid w:val="00DE73E5"/>
    <w:rsid w:val="00E055D0"/>
    <w:rsid w:val="00E37F2F"/>
    <w:rsid w:val="00E94478"/>
    <w:rsid w:val="00EF5A1B"/>
    <w:rsid w:val="00F0255B"/>
    <w:rsid w:val="00F32A58"/>
    <w:rsid w:val="00F335BD"/>
    <w:rsid w:val="00F44619"/>
    <w:rsid w:val="00FE2577"/>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0FD0FEF"/>
  <w15:docId w15:val="{C6020B65-508D-423E-811B-90C0D758F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E6F"/>
    <w:rPr>
      <w:sz w:val="24"/>
      <w:lang w:val="en-CA" w:eastAsia="en-US"/>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HHpara">
    <w:name w:val="OHHpara"/>
    <w:basedOn w:val="Normal"/>
    <w:pPr>
      <w:spacing w:after="240"/>
      <w:jc w:val="both"/>
    </w:pPr>
  </w:style>
  <w:style w:type="paragraph" w:styleId="Footer">
    <w:name w:val="footer"/>
    <w:basedOn w:val="Normal"/>
    <w:link w:val="FooterChar"/>
    <w:pPr>
      <w:tabs>
        <w:tab w:val="center" w:pos="4680"/>
        <w:tab w:val="right" w:pos="9360"/>
      </w:tabs>
    </w:pPr>
  </w:style>
  <w:style w:type="paragraph" w:styleId="FootnoteText">
    <w:name w:val="footnote text"/>
    <w:basedOn w:val="Normal"/>
    <w:link w:val="FootnoteTextChar"/>
    <w:semiHidden/>
    <w:pPr>
      <w:spacing w:after="200"/>
      <w:ind w:left="360" w:hanging="360"/>
      <w:jc w:val="both"/>
    </w:pPr>
    <w:rPr>
      <w:sz w:val="20"/>
    </w:rPr>
  </w:style>
  <w:style w:type="paragraph" w:styleId="Header">
    <w:name w:val="header"/>
    <w:basedOn w:val="Normal"/>
    <w:link w:val="HeaderChar"/>
    <w:pPr>
      <w:tabs>
        <w:tab w:val="center" w:pos="4680"/>
        <w:tab w:val="right" w:pos="9360"/>
      </w:tabs>
    </w:pPr>
  </w:style>
  <w:style w:type="paragraph" w:customStyle="1" w:styleId="OHHHanging">
    <w:name w:val="OHHHanging"/>
    <w:basedOn w:val="OHHpara"/>
    <w:pPr>
      <w:ind w:left="720" w:hanging="720"/>
    </w:pPr>
  </w:style>
  <w:style w:type="paragraph" w:customStyle="1" w:styleId="OHHCentre">
    <w:name w:val="OHHCentre"/>
    <w:basedOn w:val="OHHpara"/>
    <w:pPr>
      <w:jc w:val="center"/>
    </w:pPr>
  </w:style>
  <w:style w:type="paragraph" w:customStyle="1" w:styleId="OHHLeft">
    <w:name w:val="OHHLeft"/>
    <w:basedOn w:val="OHHpara"/>
    <w:pPr>
      <w:jc w:val="left"/>
    </w:pPr>
  </w:style>
  <w:style w:type="paragraph" w:customStyle="1" w:styleId="OHHLR">
    <w:name w:val="OHHLR"/>
    <w:basedOn w:val="OHHpara"/>
    <w:pPr>
      <w:ind w:left="720" w:right="720"/>
    </w:pPr>
  </w:style>
  <w:style w:type="paragraph" w:customStyle="1" w:styleId="OHHLR2">
    <w:name w:val="OHHLR2"/>
    <w:basedOn w:val="OHHpara"/>
    <w:pPr>
      <w:ind w:left="1440" w:right="1440"/>
    </w:pPr>
  </w:style>
  <w:style w:type="paragraph" w:customStyle="1" w:styleId="OHHMainHeading">
    <w:name w:val="OHHMainHeading"/>
    <w:basedOn w:val="OHHpara"/>
    <w:next w:val="OHHpara"/>
    <w:rsid w:val="00DA2D7C"/>
    <w:pPr>
      <w:keepNext/>
      <w:keepLines/>
      <w:spacing w:before="120"/>
      <w:jc w:val="center"/>
      <w:outlineLvl w:val="0"/>
    </w:pPr>
    <w:rPr>
      <w:b/>
      <w:caps/>
    </w:rPr>
  </w:style>
  <w:style w:type="paragraph" w:customStyle="1" w:styleId="OHHpara1">
    <w:name w:val="OHHpara1"/>
    <w:basedOn w:val="OHHpara"/>
    <w:pPr>
      <w:ind w:left="720"/>
    </w:pPr>
  </w:style>
  <w:style w:type="paragraph" w:customStyle="1" w:styleId="OHHpara2">
    <w:name w:val="OHHpara2"/>
    <w:basedOn w:val="OHHpara"/>
    <w:pPr>
      <w:ind w:left="1440"/>
    </w:pPr>
  </w:style>
  <w:style w:type="paragraph" w:customStyle="1" w:styleId="OHHpara3">
    <w:name w:val="OHHpara3"/>
    <w:basedOn w:val="OHHpara"/>
    <w:pPr>
      <w:ind w:left="2160"/>
    </w:pPr>
  </w:style>
  <w:style w:type="paragraph" w:customStyle="1" w:styleId="OHHpara4">
    <w:name w:val="OHHpara4"/>
    <w:basedOn w:val="OHHpara"/>
    <w:pPr>
      <w:ind w:left="2880"/>
    </w:pPr>
  </w:style>
  <w:style w:type="paragraph" w:customStyle="1" w:styleId="OHHpara5">
    <w:name w:val="OHHpara5"/>
    <w:basedOn w:val="OHHpara"/>
    <w:pPr>
      <w:ind w:left="3600"/>
    </w:pPr>
  </w:style>
  <w:style w:type="paragraph" w:customStyle="1" w:styleId="OHHPlain">
    <w:name w:val="OHHPlain"/>
    <w:basedOn w:val="Normal"/>
  </w:style>
  <w:style w:type="paragraph" w:customStyle="1" w:styleId="OHHQuote">
    <w:name w:val="OHHQuote"/>
    <w:basedOn w:val="Normal"/>
    <w:pPr>
      <w:spacing w:after="240"/>
      <w:ind w:left="1440" w:right="1440"/>
      <w:jc w:val="both"/>
    </w:pPr>
    <w:rPr>
      <w:sz w:val="20"/>
    </w:rPr>
  </w:style>
  <w:style w:type="paragraph" w:customStyle="1" w:styleId="OHHReference">
    <w:name w:val="OHHReference"/>
    <w:basedOn w:val="OHHQuote"/>
    <w:rPr>
      <w:b/>
    </w:rPr>
  </w:style>
  <w:style w:type="paragraph" w:customStyle="1" w:styleId="OHHRight">
    <w:name w:val="OHHRight"/>
    <w:basedOn w:val="OHHpara"/>
    <w:pPr>
      <w:jc w:val="right"/>
    </w:pPr>
  </w:style>
  <w:style w:type="paragraph" w:customStyle="1" w:styleId="OHHSubHeading">
    <w:name w:val="OHHSubHeading"/>
    <w:basedOn w:val="OHHpara"/>
    <w:next w:val="OHHpara"/>
    <w:pPr>
      <w:keepNext/>
      <w:keepLines/>
      <w:spacing w:before="120"/>
      <w:jc w:val="left"/>
      <w:outlineLvl w:val="1"/>
    </w:pPr>
    <w:rPr>
      <w:b/>
      <w:u w:val="single"/>
    </w:rPr>
  </w:style>
  <w:style w:type="paragraph" w:customStyle="1" w:styleId="OHHTab">
    <w:name w:val="OHHTab"/>
    <w:basedOn w:val="OHHpara"/>
    <w:pPr>
      <w:ind w:firstLine="720"/>
    </w:pPr>
  </w:style>
  <w:style w:type="paragraph" w:customStyle="1" w:styleId="OHHTab2">
    <w:name w:val="OHHTab2"/>
    <w:basedOn w:val="OHHpara"/>
    <w:pPr>
      <w:ind w:firstLine="1440"/>
    </w:pPr>
  </w:style>
  <w:style w:type="character" w:styleId="PageNumber">
    <w:name w:val="page number"/>
    <w:rsid w:val="00100AD5"/>
  </w:style>
  <w:style w:type="character" w:customStyle="1" w:styleId="Prompt">
    <w:name w:val="Prompt"/>
    <w:aliases w:val="PR,Pr,pt"/>
    <w:basedOn w:val="DefaultParagraphFont"/>
    <w:qFormat/>
    <w:rPr>
      <w:color w:val="auto"/>
    </w:rPr>
  </w:style>
  <w:style w:type="paragraph" w:customStyle="1" w:styleId="Schedule">
    <w:name w:val="Schedule"/>
    <w:basedOn w:val="OHHpara"/>
    <w:next w:val="OHHpara"/>
    <w:rsid w:val="00994BDE"/>
    <w:pPr>
      <w:keepNext/>
      <w:jc w:val="center"/>
      <w:outlineLvl w:val="0"/>
    </w:pPr>
    <w:rPr>
      <w:b/>
      <w:caps/>
      <w:u w:val="single"/>
    </w:rPr>
  </w:style>
  <w:style w:type="paragraph" w:customStyle="1" w:styleId="OHHTableHead">
    <w:name w:val="OHHTableHead"/>
    <w:basedOn w:val="OHHpara"/>
    <w:pPr>
      <w:keepNext/>
      <w:keepLines/>
      <w:spacing w:before="60" w:after="60"/>
      <w:jc w:val="center"/>
    </w:pPr>
    <w:rPr>
      <w:b/>
    </w:rPr>
  </w:style>
  <w:style w:type="paragraph" w:customStyle="1" w:styleId="OHHTableText">
    <w:name w:val="OHHTableText"/>
    <w:basedOn w:val="OHHpara"/>
    <w:pPr>
      <w:spacing w:before="60" w:after="60"/>
      <w:jc w:val="left"/>
    </w:pPr>
    <w:rPr>
      <w:szCs w:val="24"/>
    </w:rPr>
  </w:style>
  <w:style w:type="paragraph" w:styleId="Date">
    <w:name w:val="Date"/>
    <w:basedOn w:val="Normal"/>
    <w:next w:val="Normal"/>
    <w:link w:val="DateChar"/>
    <w:rsid w:val="00F44619"/>
    <w:pPr>
      <w:spacing w:after="240"/>
    </w:pPr>
  </w:style>
  <w:style w:type="character" w:customStyle="1" w:styleId="DateChar">
    <w:name w:val="Date Char"/>
    <w:basedOn w:val="DefaultParagraphFont"/>
    <w:link w:val="Date"/>
    <w:rsid w:val="00F44619"/>
    <w:rPr>
      <w:sz w:val="24"/>
      <w:lang w:val="en-CA" w:eastAsia="en-US"/>
    </w:rPr>
  </w:style>
  <w:style w:type="paragraph" w:styleId="BodyText">
    <w:name w:val="Body Text"/>
    <w:link w:val="BodyTextChar"/>
    <w:uiPriority w:val="99"/>
    <w:semiHidden/>
    <w:unhideWhenUsed/>
    <w:rsid w:val="00100AD5"/>
    <w:pPr>
      <w:spacing w:after="120"/>
    </w:pPr>
    <w:rPr>
      <w:noProof/>
      <w:sz w:val="24"/>
      <w:lang w:val="en-CA" w:eastAsia="en-US"/>
    </w:rPr>
  </w:style>
  <w:style w:type="character" w:customStyle="1" w:styleId="BodyTextChar">
    <w:name w:val="Body Text Char"/>
    <w:basedOn w:val="DefaultParagraphFont"/>
    <w:link w:val="BodyText"/>
    <w:uiPriority w:val="99"/>
    <w:semiHidden/>
    <w:rsid w:val="00100AD5"/>
    <w:rPr>
      <w:noProof/>
      <w:sz w:val="24"/>
      <w:lang w:val="en-CA" w:eastAsia="en-US"/>
    </w:rPr>
  </w:style>
  <w:style w:type="paragraph" w:customStyle="1" w:styleId="OHHQuote2">
    <w:name w:val="OHHQuote2"/>
    <w:basedOn w:val="OHHQuote"/>
    <w:autoRedefine/>
    <w:rsid w:val="00C4506D"/>
    <w:pPr>
      <w:ind w:right="720"/>
    </w:pPr>
    <w:rPr>
      <w:sz w:val="24"/>
      <w:lang w:eastAsia="en-CA"/>
    </w:rPr>
  </w:style>
  <w:style w:type="paragraph" w:customStyle="1" w:styleId="OHHReference2">
    <w:name w:val="OHHReference2"/>
    <w:basedOn w:val="OHHReference"/>
    <w:qFormat/>
    <w:rsid w:val="00C4506D"/>
    <w:pPr>
      <w:ind w:left="3600" w:right="0" w:hanging="720"/>
      <w:jc w:val="left"/>
    </w:pPr>
    <w:rPr>
      <w:b w:val="0"/>
      <w:sz w:val="24"/>
      <w:lang w:eastAsia="en-CA"/>
    </w:rPr>
  </w:style>
  <w:style w:type="paragraph" w:customStyle="1" w:styleId="DocsID">
    <w:name w:val="DocsID"/>
    <w:basedOn w:val="Normal"/>
    <w:link w:val="DocsIDChar"/>
    <w:rsid w:val="007962C4"/>
    <w:pPr>
      <w:spacing w:before="20"/>
    </w:pPr>
    <w:rPr>
      <w:color w:val="000000"/>
      <w:sz w:val="12"/>
    </w:rPr>
  </w:style>
  <w:style w:type="character" w:customStyle="1" w:styleId="DocsIDChar">
    <w:name w:val="DocsID Char"/>
    <w:basedOn w:val="DefaultParagraphFont"/>
    <w:link w:val="DocsID"/>
    <w:rsid w:val="007962C4"/>
    <w:rPr>
      <w:color w:val="000000"/>
      <w:sz w:val="12"/>
      <w:lang w:val="en-CA" w:eastAsia="en-US"/>
    </w:rPr>
  </w:style>
  <w:style w:type="paragraph" w:customStyle="1" w:styleId="TocTitle">
    <w:name w:val="TocTitle"/>
    <w:basedOn w:val="Normal"/>
    <w:qFormat/>
    <w:rsid w:val="0068530E"/>
    <w:pPr>
      <w:jc w:val="center"/>
    </w:pPr>
    <w:rPr>
      <w:b/>
      <w:caps/>
    </w:rPr>
  </w:style>
  <w:style w:type="paragraph" w:styleId="TOC1">
    <w:name w:val="toc 1"/>
    <w:basedOn w:val="Normal"/>
    <w:next w:val="Normal"/>
    <w:autoRedefine/>
    <w:uiPriority w:val="39"/>
    <w:unhideWhenUsed/>
    <w:rsid w:val="0071226D"/>
    <w:pPr>
      <w:spacing w:after="100"/>
      <w:ind w:left="720" w:hanging="720"/>
    </w:pPr>
  </w:style>
  <w:style w:type="paragraph" w:styleId="TOC2">
    <w:name w:val="toc 2"/>
    <w:basedOn w:val="Normal"/>
    <w:next w:val="Normal"/>
    <w:autoRedefine/>
    <w:uiPriority w:val="39"/>
    <w:unhideWhenUsed/>
    <w:rsid w:val="0071226D"/>
    <w:pPr>
      <w:spacing w:after="100"/>
      <w:ind w:left="1440" w:hanging="720"/>
    </w:pPr>
  </w:style>
  <w:style w:type="paragraph" w:styleId="TOC3">
    <w:name w:val="toc 3"/>
    <w:basedOn w:val="Normal"/>
    <w:next w:val="Normal"/>
    <w:autoRedefine/>
    <w:uiPriority w:val="39"/>
    <w:unhideWhenUsed/>
    <w:rsid w:val="0071226D"/>
    <w:pPr>
      <w:spacing w:after="100"/>
      <w:ind w:left="2160" w:hanging="720"/>
    </w:pPr>
  </w:style>
  <w:style w:type="paragraph" w:styleId="TOC4">
    <w:name w:val="toc 4"/>
    <w:basedOn w:val="Normal"/>
    <w:next w:val="Normal"/>
    <w:autoRedefine/>
    <w:uiPriority w:val="39"/>
    <w:unhideWhenUsed/>
    <w:rsid w:val="0071226D"/>
    <w:pPr>
      <w:spacing w:after="100"/>
      <w:ind w:left="2880" w:hanging="720"/>
    </w:pPr>
  </w:style>
  <w:style w:type="paragraph" w:styleId="TOC5">
    <w:name w:val="toc 5"/>
    <w:basedOn w:val="Normal"/>
    <w:next w:val="Normal"/>
    <w:autoRedefine/>
    <w:uiPriority w:val="39"/>
    <w:unhideWhenUsed/>
    <w:rsid w:val="0071226D"/>
    <w:pPr>
      <w:spacing w:after="100"/>
      <w:ind w:left="3600" w:hanging="720"/>
    </w:pPr>
  </w:style>
  <w:style w:type="paragraph" w:styleId="TOC6">
    <w:name w:val="toc 6"/>
    <w:basedOn w:val="Normal"/>
    <w:next w:val="Normal"/>
    <w:autoRedefine/>
    <w:uiPriority w:val="39"/>
    <w:unhideWhenUsed/>
    <w:rsid w:val="0071226D"/>
    <w:pPr>
      <w:spacing w:after="100"/>
      <w:ind w:left="4320" w:hanging="720"/>
    </w:pPr>
  </w:style>
  <w:style w:type="paragraph" w:styleId="TOC7">
    <w:name w:val="toc 7"/>
    <w:basedOn w:val="Normal"/>
    <w:next w:val="Normal"/>
    <w:autoRedefine/>
    <w:uiPriority w:val="39"/>
    <w:unhideWhenUsed/>
    <w:rsid w:val="0071226D"/>
    <w:pPr>
      <w:spacing w:after="100"/>
      <w:ind w:left="5040" w:hanging="720"/>
    </w:pPr>
  </w:style>
  <w:style w:type="paragraph" w:styleId="TOC8">
    <w:name w:val="toc 8"/>
    <w:basedOn w:val="Normal"/>
    <w:next w:val="Normal"/>
    <w:autoRedefine/>
    <w:uiPriority w:val="39"/>
    <w:unhideWhenUsed/>
    <w:rsid w:val="0071226D"/>
    <w:pPr>
      <w:spacing w:after="100"/>
      <w:ind w:left="5760" w:hanging="720"/>
    </w:pPr>
  </w:style>
  <w:style w:type="paragraph" w:styleId="TOC9">
    <w:name w:val="toc 9"/>
    <w:basedOn w:val="Normal"/>
    <w:next w:val="Normal"/>
    <w:autoRedefine/>
    <w:uiPriority w:val="39"/>
    <w:unhideWhenUsed/>
    <w:rsid w:val="0071226D"/>
    <w:pPr>
      <w:spacing w:after="100"/>
      <w:ind w:left="6480" w:hanging="720"/>
    </w:pPr>
  </w:style>
  <w:style w:type="character" w:customStyle="1" w:styleId="Heading1Char">
    <w:name w:val="Heading 1 Char"/>
    <w:basedOn w:val="DefaultParagraphFont"/>
    <w:link w:val="Heading1"/>
    <w:rsid w:val="005216F1"/>
    <w:rPr>
      <w:rFonts w:ascii="Arial" w:hAnsi="Arial" w:cs="Arial"/>
      <w:b/>
      <w:bCs/>
      <w:kern w:val="32"/>
      <w:sz w:val="32"/>
      <w:szCs w:val="32"/>
      <w:lang w:val="en-CA" w:eastAsia="en-US"/>
    </w:rPr>
  </w:style>
  <w:style w:type="character" w:customStyle="1" w:styleId="Heading2Char">
    <w:name w:val="Heading 2 Char"/>
    <w:basedOn w:val="DefaultParagraphFont"/>
    <w:link w:val="Heading2"/>
    <w:semiHidden/>
    <w:rsid w:val="005216F1"/>
    <w:rPr>
      <w:rFonts w:ascii="Arial" w:hAnsi="Arial" w:cs="Arial"/>
      <w:b/>
      <w:bCs/>
      <w:i/>
      <w:iCs/>
      <w:sz w:val="28"/>
      <w:szCs w:val="28"/>
      <w:lang w:val="en-CA" w:eastAsia="en-US"/>
    </w:rPr>
  </w:style>
  <w:style w:type="character" w:customStyle="1" w:styleId="Heading3Char">
    <w:name w:val="Heading 3 Char"/>
    <w:basedOn w:val="DefaultParagraphFont"/>
    <w:link w:val="Heading3"/>
    <w:semiHidden/>
    <w:rsid w:val="005216F1"/>
    <w:rPr>
      <w:rFonts w:ascii="Arial" w:hAnsi="Arial" w:cs="Arial"/>
      <w:b/>
      <w:bCs/>
      <w:sz w:val="26"/>
      <w:szCs w:val="26"/>
      <w:lang w:val="en-CA" w:eastAsia="en-US"/>
    </w:rPr>
  </w:style>
  <w:style w:type="character" w:customStyle="1" w:styleId="FooterChar">
    <w:name w:val="Footer Char"/>
    <w:basedOn w:val="DefaultParagraphFont"/>
    <w:link w:val="Footer"/>
    <w:rsid w:val="005216F1"/>
    <w:rPr>
      <w:sz w:val="24"/>
      <w:lang w:val="en-CA" w:eastAsia="en-US"/>
    </w:rPr>
  </w:style>
  <w:style w:type="character" w:customStyle="1" w:styleId="FootnoteTextChar">
    <w:name w:val="Footnote Text Char"/>
    <w:basedOn w:val="DefaultParagraphFont"/>
    <w:link w:val="FootnoteText"/>
    <w:semiHidden/>
    <w:rsid w:val="005216F1"/>
    <w:rPr>
      <w:lang w:val="en-CA" w:eastAsia="en-US"/>
    </w:rPr>
  </w:style>
  <w:style w:type="character" w:customStyle="1" w:styleId="HeaderChar">
    <w:name w:val="Header Char"/>
    <w:basedOn w:val="DefaultParagraphFont"/>
    <w:link w:val="Header"/>
    <w:rsid w:val="005216F1"/>
    <w:rPr>
      <w:sz w:val="24"/>
      <w:lang w:val="en-CA" w:eastAsia="en-US"/>
    </w:rPr>
  </w:style>
  <w:style w:type="table" w:styleId="TableGrid">
    <w:name w:val="Table Grid"/>
    <w:basedOn w:val="TableNormal"/>
    <w:uiPriority w:val="99"/>
    <w:unhideWhenUsed/>
    <w:rsid w:val="005216F1"/>
    <w:pPr>
      <w:spacing w:after="240"/>
    </w:pPr>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216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DA2D7C"/>
    <w:rPr>
      <w:caps w:val="0"/>
      <w:smallCaps w:val="0"/>
      <w:strike w:val="0"/>
      <w:dstrike w:val="0"/>
      <w:vanish w:val="0"/>
      <w:vertAlign w:val="superscript"/>
    </w:rPr>
  </w:style>
  <w:style w:type="character" w:styleId="PlaceholderText">
    <w:name w:val="Placeholder Text"/>
    <w:basedOn w:val="DefaultParagraphFont"/>
    <w:uiPriority w:val="99"/>
    <w:semiHidden/>
    <w:rsid w:val="00F32A58"/>
    <w:rPr>
      <w:color w:val="666666"/>
    </w:rPr>
  </w:style>
  <w:style w:type="paragraph" w:customStyle="1" w:styleId="StandardL1">
    <w:name w:val="Standard_L1"/>
    <w:basedOn w:val="Normal"/>
    <w:rsid w:val="00DA2D7C"/>
    <w:pPr>
      <w:numPr>
        <w:numId w:val="11"/>
      </w:numPr>
      <w:tabs>
        <w:tab w:val="left" w:pos="1440"/>
      </w:tabs>
      <w:spacing w:after="240"/>
      <w:ind w:left="0" w:firstLine="720"/>
      <w:jc w:val="both"/>
      <w:outlineLvl w:val="0"/>
    </w:pPr>
    <w:rPr>
      <w:color w:val="000000"/>
      <w:u w:val="single"/>
    </w:rPr>
  </w:style>
  <w:style w:type="paragraph" w:customStyle="1" w:styleId="StandardL2">
    <w:name w:val="Standard_L2"/>
    <w:basedOn w:val="Normal"/>
    <w:rsid w:val="00DA2D7C"/>
    <w:pPr>
      <w:numPr>
        <w:ilvl w:val="1"/>
        <w:numId w:val="11"/>
      </w:numPr>
      <w:tabs>
        <w:tab w:val="left" w:pos="2160"/>
      </w:tabs>
      <w:spacing w:after="240"/>
      <w:ind w:left="0" w:firstLine="1440"/>
      <w:jc w:val="both"/>
      <w:outlineLvl w:val="1"/>
    </w:pPr>
    <w:rPr>
      <w:color w:val="000000"/>
      <w:u w:val="single"/>
    </w:rPr>
  </w:style>
  <w:style w:type="paragraph" w:customStyle="1" w:styleId="StandardL3">
    <w:name w:val="Standard_L3"/>
    <w:basedOn w:val="Normal"/>
    <w:rsid w:val="00DA2D7C"/>
    <w:pPr>
      <w:numPr>
        <w:ilvl w:val="2"/>
        <w:numId w:val="11"/>
      </w:numPr>
      <w:tabs>
        <w:tab w:val="left" w:pos="2880"/>
      </w:tabs>
      <w:spacing w:after="240"/>
      <w:ind w:left="0" w:firstLine="2160"/>
      <w:jc w:val="both"/>
      <w:outlineLvl w:val="2"/>
    </w:pPr>
    <w:rPr>
      <w:color w:val="000000"/>
    </w:rPr>
  </w:style>
  <w:style w:type="paragraph" w:customStyle="1" w:styleId="StandardL4">
    <w:name w:val="Standard_L4"/>
    <w:basedOn w:val="Normal"/>
    <w:rsid w:val="00DA2D7C"/>
    <w:pPr>
      <w:numPr>
        <w:ilvl w:val="3"/>
        <w:numId w:val="11"/>
      </w:numPr>
      <w:tabs>
        <w:tab w:val="left" w:pos="3600"/>
      </w:tabs>
      <w:spacing w:after="240"/>
      <w:ind w:left="0" w:firstLine="2880"/>
      <w:jc w:val="both"/>
      <w:outlineLvl w:val="3"/>
    </w:pPr>
    <w:rPr>
      <w:color w:val="000000"/>
    </w:rPr>
  </w:style>
  <w:style w:type="paragraph" w:customStyle="1" w:styleId="StandardL5">
    <w:name w:val="Standard_L5"/>
    <w:basedOn w:val="Normal"/>
    <w:rsid w:val="00DA2D7C"/>
    <w:pPr>
      <w:numPr>
        <w:ilvl w:val="4"/>
        <w:numId w:val="11"/>
      </w:numPr>
      <w:tabs>
        <w:tab w:val="left" w:pos="4320"/>
      </w:tabs>
      <w:spacing w:after="240"/>
      <w:ind w:left="0" w:firstLine="3600"/>
      <w:jc w:val="both"/>
      <w:outlineLvl w:val="4"/>
    </w:pPr>
    <w:rPr>
      <w:color w:val="000000"/>
    </w:rPr>
  </w:style>
  <w:style w:type="paragraph" w:customStyle="1" w:styleId="StandardL6">
    <w:name w:val="Standard_L6"/>
    <w:basedOn w:val="Normal"/>
    <w:rsid w:val="00DA2D7C"/>
    <w:pPr>
      <w:numPr>
        <w:ilvl w:val="5"/>
        <w:numId w:val="11"/>
      </w:numPr>
      <w:tabs>
        <w:tab w:val="left" w:pos="5040"/>
      </w:tabs>
      <w:spacing w:after="240"/>
      <w:ind w:left="0" w:firstLine="4320"/>
      <w:jc w:val="both"/>
      <w:outlineLvl w:val="5"/>
    </w:pPr>
    <w:rPr>
      <w:color w:val="000000"/>
    </w:rPr>
  </w:style>
  <w:style w:type="paragraph" w:customStyle="1" w:styleId="StandardL7">
    <w:name w:val="Standard_L7"/>
    <w:basedOn w:val="Normal"/>
    <w:rsid w:val="00DA2D7C"/>
    <w:pPr>
      <w:numPr>
        <w:ilvl w:val="6"/>
        <w:numId w:val="11"/>
      </w:numPr>
      <w:tabs>
        <w:tab w:val="left" w:pos="5760"/>
      </w:tabs>
      <w:spacing w:after="240"/>
      <w:ind w:left="0" w:firstLine="5040"/>
      <w:jc w:val="both"/>
      <w:outlineLvl w:val="6"/>
    </w:pPr>
    <w:rPr>
      <w:color w:val="000000"/>
    </w:rPr>
  </w:style>
  <w:style w:type="paragraph" w:customStyle="1" w:styleId="StandardL8">
    <w:name w:val="Standard_L8"/>
    <w:basedOn w:val="Normal"/>
    <w:rsid w:val="00DA2D7C"/>
    <w:pPr>
      <w:numPr>
        <w:ilvl w:val="7"/>
        <w:numId w:val="11"/>
      </w:numPr>
      <w:tabs>
        <w:tab w:val="left" w:pos="6480"/>
      </w:tabs>
      <w:spacing w:after="240"/>
      <w:ind w:left="0" w:firstLine="5760"/>
      <w:jc w:val="both"/>
      <w:outlineLvl w:val="7"/>
    </w:pPr>
    <w:rPr>
      <w:color w:val="000000"/>
    </w:rPr>
  </w:style>
  <w:style w:type="paragraph" w:customStyle="1" w:styleId="StandardL9">
    <w:name w:val="Standard_L9"/>
    <w:basedOn w:val="Normal"/>
    <w:rsid w:val="00DA2D7C"/>
    <w:pPr>
      <w:numPr>
        <w:ilvl w:val="8"/>
        <w:numId w:val="11"/>
      </w:numPr>
      <w:tabs>
        <w:tab w:val="left" w:pos="7200"/>
      </w:tabs>
      <w:spacing w:after="240"/>
      <w:ind w:left="0" w:firstLine="6480"/>
      <w:jc w:val="both"/>
      <w:outlineLvl w:val="8"/>
    </w:pPr>
    <w:rPr>
      <w:color w:val="000000"/>
    </w:rPr>
  </w:style>
  <w:style w:type="paragraph" w:customStyle="1" w:styleId="StandardNoL1">
    <w:name w:val="Standard_No#L1"/>
    <w:basedOn w:val="Normal"/>
    <w:rsid w:val="00DA2D7C"/>
    <w:pPr>
      <w:spacing w:after="240"/>
      <w:ind w:left="720"/>
      <w:jc w:val="both"/>
    </w:pPr>
    <w:rPr>
      <w:color w:val="000000"/>
    </w:rPr>
  </w:style>
  <w:style w:type="paragraph" w:customStyle="1" w:styleId="StandardNoL2">
    <w:name w:val="Standard_No#L2"/>
    <w:basedOn w:val="Normal"/>
    <w:rsid w:val="00DA2D7C"/>
    <w:pPr>
      <w:spacing w:after="240"/>
      <w:ind w:left="1440"/>
      <w:jc w:val="both"/>
    </w:pPr>
    <w:rPr>
      <w:color w:val="000000"/>
    </w:rPr>
  </w:style>
  <w:style w:type="paragraph" w:customStyle="1" w:styleId="StandardNoL3">
    <w:name w:val="Standard_No#L3"/>
    <w:basedOn w:val="Normal"/>
    <w:rsid w:val="00DA2D7C"/>
    <w:pPr>
      <w:spacing w:after="240"/>
      <w:ind w:left="2160"/>
      <w:jc w:val="both"/>
    </w:pPr>
    <w:rPr>
      <w:color w:val="000000"/>
    </w:rPr>
  </w:style>
  <w:style w:type="paragraph" w:customStyle="1" w:styleId="StandardNoL4">
    <w:name w:val="Standard_No#L4"/>
    <w:basedOn w:val="Normal"/>
    <w:rsid w:val="00DA2D7C"/>
    <w:pPr>
      <w:spacing w:after="240"/>
      <w:ind w:left="2880"/>
      <w:jc w:val="both"/>
    </w:pPr>
    <w:rPr>
      <w:color w:val="000000"/>
    </w:rPr>
  </w:style>
  <w:style w:type="paragraph" w:customStyle="1" w:styleId="StandardNoL5">
    <w:name w:val="Standard_No#L5"/>
    <w:basedOn w:val="Normal"/>
    <w:rsid w:val="00DA2D7C"/>
    <w:pPr>
      <w:spacing w:after="240"/>
      <w:ind w:left="3600"/>
      <w:jc w:val="both"/>
    </w:pPr>
    <w:rPr>
      <w:color w:val="000000"/>
    </w:rPr>
  </w:style>
  <w:style w:type="paragraph" w:customStyle="1" w:styleId="StandardNoL6">
    <w:name w:val="Standard_No#L6"/>
    <w:basedOn w:val="Normal"/>
    <w:rsid w:val="00DA2D7C"/>
    <w:pPr>
      <w:spacing w:after="240"/>
      <w:ind w:left="4320"/>
      <w:jc w:val="both"/>
    </w:pPr>
    <w:rPr>
      <w:color w:val="000000"/>
    </w:rPr>
  </w:style>
  <w:style w:type="paragraph" w:customStyle="1" w:styleId="StandardNoL7">
    <w:name w:val="Standard_No#L7"/>
    <w:basedOn w:val="Normal"/>
    <w:rsid w:val="00DA2D7C"/>
    <w:pPr>
      <w:spacing w:after="240"/>
      <w:ind w:left="5040"/>
      <w:jc w:val="both"/>
    </w:pPr>
    <w:rPr>
      <w:color w:val="000000"/>
    </w:rPr>
  </w:style>
  <w:style w:type="paragraph" w:customStyle="1" w:styleId="StandardNoL8">
    <w:name w:val="Standard_No#L8"/>
    <w:basedOn w:val="Normal"/>
    <w:rsid w:val="00DA2D7C"/>
    <w:pPr>
      <w:spacing w:after="240"/>
      <w:ind w:left="5760"/>
      <w:jc w:val="both"/>
    </w:pPr>
    <w:rPr>
      <w:color w:val="000000"/>
    </w:rPr>
  </w:style>
  <w:style w:type="paragraph" w:customStyle="1" w:styleId="StandardNoL9">
    <w:name w:val="Standard_No#L9"/>
    <w:basedOn w:val="Normal"/>
    <w:rsid w:val="00DA2D7C"/>
    <w:pPr>
      <w:spacing w:after="240"/>
      <w:ind w:left="6480"/>
      <w:jc w:val="both"/>
    </w:pPr>
    <w:rPr>
      <w:color w:val="000000"/>
    </w:rPr>
  </w:style>
  <w:style w:type="paragraph" w:customStyle="1" w:styleId="SigningLine">
    <w:name w:val="SigningLine"/>
    <w:basedOn w:val="Normal"/>
    <w:rsid w:val="00994BDE"/>
    <w:pPr>
      <w:keepNext/>
      <w:keepLines/>
      <w:spacing w:before="40" w:after="40"/>
      <w:jc w:val="both"/>
    </w:pPr>
    <w:rPr>
      <w:szCs w:val="24"/>
    </w:rPr>
  </w:style>
  <w:style w:type="character" w:styleId="Hyperlink">
    <w:name w:val="Hyperlink"/>
    <w:basedOn w:val="DefaultParagraphFont"/>
    <w:uiPriority w:val="99"/>
    <w:unhideWhenUsed/>
    <w:rsid w:val="00BE29A1"/>
    <w:rPr>
      <w:color w:val="0000FF" w:themeColor="hyperlink"/>
      <w:u w:val="single"/>
    </w:rPr>
  </w:style>
  <w:style w:type="character" w:styleId="UnresolvedMention">
    <w:name w:val="Unresolved Mention"/>
    <w:basedOn w:val="DefaultParagraphFont"/>
    <w:uiPriority w:val="99"/>
    <w:semiHidden/>
    <w:unhideWhenUsed/>
    <w:rsid w:val="00BE2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s://www.osler.com/seedtemp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LEGAL_1!106862045.1</documentid>
  <senderid>TMARTINEZ</senderid>
  <senderemail>TMARTINEZ@OSLER.COM</senderemail>
  <lastmodified>2026-01-27T13:46:00.0000000-08:00</lastmodified>
  <database>LEGAL_1</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41752-9BBC-452D-B896-54BC3F0D385B}">
  <ds:schemaRefs>
    <ds:schemaRef ds:uri="http://www.imanage.com/work/xmlschema"/>
  </ds:schemaRefs>
</ds:datastoreItem>
</file>

<file path=customXml/itemProps2.xml><?xml version="1.0" encoding="utf-8"?>
<ds:datastoreItem xmlns:ds="http://schemas.openxmlformats.org/officeDocument/2006/customXml" ds:itemID="{9C944A3F-8B98-449A-BED7-1B6E32207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14926</Words>
  <Characters>80752</Characters>
  <Application>Microsoft Office Word</Application>
  <DocSecurity>0</DocSecurity>
  <Lines>1345</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Maski, Adam</dc:creator>
  <cp:lastModifiedBy>Maski, Adam</cp:lastModifiedBy>
  <cp:revision>6</cp:revision>
  <cp:lastPrinted>2026-01-27T18:41:00Z</cp:lastPrinted>
  <dcterms:created xsi:type="dcterms:W3CDTF">2026-01-28T20:17:00Z</dcterms:created>
  <dcterms:modified xsi:type="dcterms:W3CDTF">2026-01-29T16:43:00Z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SETTINGS">
    <vt:lpwstr>0</vt:lpwstr>
  </property>
  <property fmtid="{D5CDD505-2E9C-101B-9397-08002B2CF9AE}" pid="3" name="WordLXNoDocIdAutoUpdate">
    <vt:lpwstr>True</vt:lpwstr>
  </property>
</Properties>
</file>